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4222A" w14:textId="6DCB11F0" w:rsidR="004C53A8" w:rsidRDefault="004C53A8" w:rsidP="00681C4C">
      <w:pPr>
        <w:widowControl w:val="0"/>
        <w:spacing w:before="60" w:after="60"/>
        <w:rPr>
          <w:rFonts w:ascii="Titillium" w:hAnsi="Titillium"/>
          <w:b/>
          <w:sz w:val="36"/>
          <w:szCs w:val="36"/>
          <w:lang w:eastAsia="it-IT"/>
        </w:rPr>
      </w:pPr>
    </w:p>
    <w:p w14:paraId="31FF5464" w14:textId="77777777" w:rsidR="004C53A8" w:rsidRDefault="004C53A8">
      <w:pPr>
        <w:widowControl w:val="0"/>
        <w:spacing w:before="60" w:after="60"/>
        <w:jc w:val="center"/>
        <w:rPr>
          <w:rFonts w:ascii="Titillium" w:hAnsi="Titillium"/>
          <w:b/>
          <w:sz w:val="36"/>
          <w:szCs w:val="36"/>
          <w:lang w:eastAsia="it-IT"/>
        </w:rPr>
      </w:pPr>
    </w:p>
    <w:p w14:paraId="2B553D79" w14:textId="2769EB5C" w:rsidR="004C53A8" w:rsidRDefault="004C53A8">
      <w:pPr>
        <w:widowControl w:val="0"/>
        <w:spacing w:before="60" w:after="60"/>
        <w:jc w:val="center"/>
        <w:rPr>
          <w:rFonts w:ascii="Titillium" w:hAnsi="Titillium"/>
          <w:b/>
          <w:sz w:val="36"/>
          <w:szCs w:val="36"/>
          <w:lang w:eastAsia="it-IT"/>
        </w:rPr>
      </w:pPr>
    </w:p>
    <w:p w14:paraId="2576E1D2" w14:textId="77777777" w:rsidR="00CA2C41" w:rsidRPr="00CA2C41" w:rsidRDefault="00CA2C41">
      <w:pPr>
        <w:widowControl w:val="0"/>
        <w:spacing w:before="60" w:after="60"/>
        <w:jc w:val="center"/>
        <w:rPr>
          <w:rFonts w:ascii="Titillium" w:hAnsi="Titillium"/>
          <w:b/>
          <w:sz w:val="36"/>
          <w:szCs w:val="36"/>
          <w:lang w:eastAsia="it-IT"/>
        </w:rPr>
      </w:pPr>
    </w:p>
    <w:p w14:paraId="483D67A3" w14:textId="77ED2395" w:rsidR="002E4529" w:rsidRPr="000D315D" w:rsidRDefault="002E4529" w:rsidP="002E4529">
      <w:pPr>
        <w:widowControl w:val="0"/>
        <w:spacing w:line="23" w:lineRule="atLeast"/>
        <w:ind w:left="567"/>
        <w:jc w:val="center"/>
        <w:rPr>
          <w:rFonts w:asciiTheme="minorHAnsi" w:hAnsiTheme="minorHAnsi" w:cstheme="minorHAnsi"/>
          <w:b/>
          <w:sz w:val="32"/>
          <w:szCs w:val="32"/>
          <w:lang w:eastAsia="it-IT"/>
        </w:rPr>
      </w:pPr>
      <w:r>
        <w:rPr>
          <w:rFonts w:asciiTheme="minorHAnsi" w:hAnsiTheme="minorHAnsi" w:cstheme="minorHAnsi"/>
          <w:b/>
          <w:sz w:val="32"/>
          <w:szCs w:val="32"/>
          <w:lang w:eastAsia="it-IT"/>
        </w:rPr>
        <w:t>ELENCO PREZZI UNITARI</w:t>
      </w:r>
    </w:p>
    <w:p w14:paraId="76BDC023" w14:textId="77777777" w:rsidR="002E4529" w:rsidRPr="000D315D" w:rsidRDefault="002E4529" w:rsidP="002E4529">
      <w:pPr>
        <w:widowControl w:val="0"/>
        <w:spacing w:line="23" w:lineRule="atLeast"/>
        <w:ind w:left="567"/>
        <w:rPr>
          <w:rFonts w:asciiTheme="minorHAnsi" w:hAnsiTheme="minorHAnsi" w:cstheme="minorHAnsi"/>
          <w:b/>
          <w:szCs w:val="24"/>
          <w:lang w:eastAsia="it-IT"/>
        </w:rPr>
      </w:pPr>
    </w:p>
    <w:p w14:paraId="6880FC71" w14:textId="77777777" w:rsidR="002E4529" w:rsidRPr="000D315D" w:rsidRDefault="002E4529" w:rsidP="002E4529">
      <w:pPr>
        <w:widowControl w:val="0"/>
        <w:spacing w:line="23" w:lineRule="atLeast"/>
        <w:ind w:left="567"/>
        <w:rPr>
          <w:rFonts w:asciiTheme="minorHAnsi" w:hAnsiTheme="minorHAnsi" w:cstheme="minorHAnsi"/>
          <w:b/>
          <w:szCs w:val="24"/>
          <w:lang w:eastAsia="it-IT"/>
        </w:rPr>
      </w:pPr>
    </w:p>
    <w:p w14:paraId="37617376" w14:textId="77777777" w:rsidR="002E4529" w:rsidRPr="000D315D" w:rsidRDefault="002E4529" w:rsidP="002E4529">
      <w:pPr>
        <w:widowControl w:val="0"/>
        <w:spacing w:line="23" w:lineRule="atLeast"/>
        <w:ind w:left="567"/>
        <w:rPr>
          <w:rFonts w:asciiTheme="minorHAnsi" w:hAnsiTheme="minorHAnsi" w:cstheme="minorHAnsi"/>
          <w:b/>
          <w:szCs w:val="24"/>
          <w:lang w:eastAsia="it-IT"/>
        </w:rPr>
      </w:pPr>
    </w:p>
    <w:p w14:paraId="30974BBC" w14:textId="77777777" w:rsidR="002E4529" w:rsidRPr="000D315D" w:rsidRDefault="002E4529" w:rsidP="002E4529">
      <w:pPr>
        <w:widowControl w:val="0"/>
        <w:spacing w:line="23" w:lineRule="atLeast"/>
        <w:ind w:left="567"/>
        <w:rPr>
          <w:rFonts w:asciiTheme="minorHAnsi" w:hAnsiTheme="minorHAnsi" w:cstheme="minorHAnsi"/>
          <w:b/>
          <w:szCs w:val="24"/>
          <w:lang w:eastAsia="it-IT"/>
        </w:rPr>
      </w:pPr>
    </w:p>
    <w:p w14:paraId="37414B48" w14:textId="77777777" w:rsidR="002E4529" w:rsidRPr="000D315D" w:rsidRDefault="002E4529" w:rsidP="002E4529">
      <w:pPr>
        <w:widowControl w:val="0"/>
        <w:spacing w:line="23" w:lineRule="atLeast"/>
        <w:ind w:left="567"/>
        <w:rPr>
          <w:rFonts w:asciiTheme="minorHAnsi" w:hAnsiTheme="minorHAnsi" w:cstheme="minorHAnsi"/>
          <w:b/>
          <w:szCs w:val="24"/>
          <w:lang w:eastAsia="it-IT"/>
        </w:rPr>
      </w:pPr>
    </w:p>
    <w:p w14:paraId="5EF1D6C8" w14:textId="77777777" w:rsidR="002E4529" w:rsidRPr="000D315D" w:rsidRDefault="002E4529" w:rsidP="002E4529">
      <w:pPr>
        <w:widowControl w:val="0"/>
        <w:spacing w:line="23" w:lineRule="atLeast"/>
        <w:ind w:left="567"/>
        <w:rPr>
          <w:rFonts w:asciiTheme="minorHAnsi" w:hAnsiTheme="minorHAnsi" w:cstheme="minorHAnsi"/>
          <w:b/>
          <w:szCs w:val="24"/>
          <w:lang w:eastAsia="it-IT"/>
        </w:rPr>
      </w:pPr>
    </w:p>
    <w:p w14:paraId="7EC99763" w14:textId="77777777" w:rsidR="002E4529" w:rsidRPr="000D315D" w:rsidRDefault="002E4529" w:rsidP="002E4529">
      <w:pPr>
        <w:widowControl w:val="0"/>
        <w:spacing w:line="23" w:lineRule="atLeast"/>
        <w:ind w:left="567"/>
        <w:jc w:val="center"/>
        <w:rPr>
          <w:rFonts w:asciiTheme="minorHAnsi" w:hAnsiTheme="minorHAnsi" w:cstheme="minorHAnsi"/>
          <w:b/>
          <w:sz w:val="28"/>
          <w:szCs w:val="28"/>
          <w:lang w:eastAsia="it-IT"/>
        </w:rPr>
      </w:pPr>
      <w:r w:rsidRPr="000D315D">
        <w:rPr>
          <w:rFonts w:asciiTheme="minorHAnsi" w:hAnsiTheme="minorHAnsi" w:cstheme="minorHAnsi"/>
          <w:b/>
          <w:sz w:val="28"/>
          <w:szCs w:val="28"/>
          <w:lang w:eastAsia="it-IT"/>
        </w:rPr>
        <w:t>AFFIDAMENTO DELLA FORNITURA DI MOBILI E ARREDI PER UFFICI PER LA NUOVA SEDE ISTITUZIONALE DELLA CASSA PER I SERVIZI ENERGETICI E AMBIENTALI - CSEA</w:t>
      </w:r>
    </w:p>
    <w:p w14:paraId="16C19DEA" w14:textId="77777777" w:rsidR="002E4529" w:rsidRPr="000D315D" w:rsidRDefault="002E4529" w:rsidP="002E4529">
      <w:pPr>
        <w:widowControl w:val="0"/>
        <w:spacing w:line="23" w:lineRule="atLeast"/>
        <w:ind w:left="567"/>
        <w:rPr>
          <w:rFonts w:asciiTheme="minorHAnsi" w:hAnsiTheme="minorHAnsi" w:cstheme="minorHAnsi"/>
          <w:b/>
          <w:sz w:val="28"/>
          <w:szCs w:val="28"/>
          <w:lang w:eastAsia="it-IT"/>
        </w:rPr>
      </w:pPr>
    </w:p>
    <w:p w14:paraId="1CD3D1AF" w14:textId="77777777" w:rsidR="002E4529" w:rsidRPr="000D315D" w:rsidRDefault="002E4529" w:rsidP="002E4529">
      <w:pPr>
        <w:widowControl w:val="0"/>
        <w:spacing w:line="23" w:lineRule="atLeast"/>
        <w:ind w:left="567"/>
        <w:rPr>
          <w:rFonts w:asciiTheme="minorHAnsi" w:hAnsiTheme="minorHAnsi" w:cstheme="minorHAnsi"/>
          <w:b/>
          <w:szCs w:val="24"/>
          <w:lang w:eastAsia="it-IT"/>
        </w:rPr>
      </w:pPr>
    </w:p>
    <w:p w14:paraId="051FD87B" w14:textId="77777777" w:rsidR="002E4529" w:rsidRPr="000D315D" w:rsidRDefault="002E4529" w:rsidP="002E4529">
      <w:pPr>
        <w:widowControl w:val="0"/>
        <w:spacing w:line="23" w:lineRule="atLeast"/>
        <w:ind w:left="567"/>
        <w:jc w:val="center"/>
        <w:rPr>
          <w:rFonts w:asciiTheme="minorHAnsi" w:hAnsiTheme="minorHAnsi" w:cstheme="minorHAnsi"/>
          <w:b/>
          <w:sz w:val="28"/>
          <w:szCs w:val="28"/>
          <w:lang w:eastAsia="it-IT"/>
        </w:rPr>
      </w:pPr>
      <w:r w:rsidRPr="000D315D">
        <w:rPr>
          <w:rFonts w:asciiTheme="minorHAnsi" w:hAnsiTheme="minorHAnsi" w:cstheme="minorHAnsi"/>
          <w:b/>
          <w:sz w:val="28"/>
          <w:szCs w:val="28"/>
          <w:lang w:eastAsia="it-IT"/>
        </w:rPr>
        <w:t>LOTTO 1</w:t>
      </w:r>
    </w:p>
    <w:p w14:paraId="31C0991D" w14:textId="77777777" w:rsidR="002E4529" w:rsidRPr="000D315D" w:rsidRDefault="002E4529" w:rsidP="002E4529">
      <w:pPr>
        <w:widowControl w:val="0"/>
        <w:spacing w:line="23" w:lineRule="atLeast"/>
        <w:ind w:left="567"/>
        <w:rPr>
          <w:rFonts w:asciiTheme="minorHAnsi" w:hAnsiTheme="minorHAnsi" w:cstheme="minorHAnsi"/>
          <w:b/>
          <w:sz w:val="28"/>
          <w:szCs w:val="28"/>
          <w:lang w:eastAsia="it-IT"/>
        </w:rPr>
      </w:pPr>
    </w:p>
    <w:p w14:paraId="44BEAA61" w14:textId="33705187" w:rsidR="002E4529" w:rsidRPr="000D315D" w:rsidRDefault="002E4529" w:rsidP="002E4529">
      <w:pPr>
        <w:widowControl w:val="0"/>
        <w:spacing w:before="60" w:after="60"/>
        <w:ind w:left="567"/>
        <w:jc w:val="center"/>
        <w:rPr>
          <w:rFonts w:asciiTheme="minorHAnsi" w:hAnsiTheme="minorHAnsi" w:cstheme="minorHAnsi"/>
          <w:b/>
          <w:sz w:val="28"/>
          <w:szCs w:val="28"/>
          <w:lang w:eastAsia="it-IT"/>
        </w:rPr>
      </w:pPr>
      <w:r w:rsidRPr="00066EEF">
        <w:rPr>
          <w:rFonts w:asciiTheme="minorHAnsi" w:hAnsiTheme="minorHAnsi" w:cstheme="minorHAnsi"/>
          <w:b/>
          <w:sz w:val="28"/>
          <w:szCs w:val="28"/>
          <w:lang w:eastAsia="it-IT"/>
        </w:rPr>
        <w:t xml:space="preserve">CIG </w:t>
      </w:r>
      <w:r w:rsidR="00066EEF" w:rsidRPr="00066EEF">
        <w:rPr>
          <w:rFonts w:asciiTheme="minorHAnsi" w:hAnsiTheme="minorHAnsi" w:cstheme="minorHAnsi"/>
          <w:b/>
          <w:sz w:val="28"/>
          <w:szCs w:val="28"/>
          <w:lang w:eastAsia="it-IT"/>
        </w:rPr>
        <w:t>B5FD696655</w:t>
      </w:r>
    </w:p>
    <w:p w14:paraId="619B1198" w14:textId="77777777" w:rsidR="002E4529" w:rsidRPr="000D315D" w:rsidRDefault="002E4529" w:rsidP="002E4529">
      <w:pPr>
        <w:widowControl w:val="0"/>
        <w:spacing w:before="60" w:after="60"/>
        <w:ind w:left="567"/>
        <w:jc w:val="center"/>
        <w:rPr>
          <w:rFonts w:asciiTheme="minorHAnsi" w:hAnsiTheme="minorHAnsi" w:cstheme="minorHAnsi"/>
          <w:b/>
          <w:szCs w:val="24"/>
          <w:lang w:eastAsia="it-IT"/>
        </w:rPr>
      </w:pPr>
    </w:p>
    <w:p w14:paraId="14FEE391" w14:textId="77777777" w:rsidR="002E4529" w:rsidRPr="000D315D" w:rsidRDefault="002E4529" w:rsidP="002E4529">
      <w:pPr>
        <w:widowControl w:val="0"/>
        <w:spacing w:before="60" w:after="60"/>
        <w:ind w:left="567"/>
        <w:jc w:val="center"/>
        <w:rPr>
          <w:rFonts w:asciiTheme="minorHAnsi" w:hAnsiTheme="minorHAnsi" w:cstheme="minorHAnsi"/>
          <w:b/>
          <w:szCs w:val="24"/>
          <w:lang w:eastAsia="it-IT"/>
        </w:rPr>
      </w:pPr>
    </w:p>
    <w:p w14:paraId="116CE202" w14:textId="77777777" w:rsidR="002E4529" w:rsidRPr="000D315D" w:rsidRDefault="002E4529" w:rsidP="002E4529">
      <w:pPr>
        <w:widowControl w:val="0"/>
        <w:spacing w:before="60" w:after="60"/>
        <w:ind w:left="567"/>
        <w:jc w:val="center"/>
        <w:rPr>
          <w:rFonts w:asciiTheme="minorHAnsi" w:hAnsiTheme="minorHAnsi" w:cstheme="minorHAnsi"/>
          <w:bCs/>
          <w:szCs w:val="24"/>
          <w:lang w:eastAsia="it-IT"/>
        </w:rPr>
      </w:pPr>
      <w:r w:rsidRPr="000D315D">
        <w:rPr>
          <w:rFonts w:asciiTheme="minorHAnsi" w:hAnsiTheme="minorHAnsi" w:cstheme="minorHAnsi"/>
          <w:b/>
          <w:szCs w:val="24"/>
          <w:lang w:eastAsia="it-IT"/>
        </w:rPr>
        <w:t xml:space="preserve">Responsabile Unico del Progetto e Direttore dell’Esecuzione: </w:t>
      </w:r>
      <w:r w:rsidRPr="000D315D">
        <w:rPr>
          <w:rFonts w:asciiTheme="minorHAnsi" w:hAnsiTheme="minorHAnsi" w:cstheme="minorHAnsi"/>
          <w:b/>
          <w:szCs w:val="24"/>
          <w:lang w:eastAsia="it-IT"/>
        </w:rPr>
        <w:br/>
      </w:r>
      <w:r w:rsidRPr="000D315D">
        <w:rPr>
          <w:rFonts w:asciiTheme="minorHAnsi" w:hAnsiTheme="minorHAnsi" w:cstheme="minorHAnsi"/>
          <w:bCs/>
          <w:szCs w:val="24"/>
          <w:lang w:eastAsia="it-IT"/>
        </w:rPr>
        <w:t>Avv. Cristina Terracciano</w:t>
      </w:r>
    </w:p>
    <w:p w14:paraId="2BD7E920" w14:textId="77777777" w:rsidR="004C53A8" w:rsidRDefault="004C53A8">
      <w:pPr>
        <w:widowControl w:val="0"/>
        <w:spacing w:before="60" w:after="60"/>
        <w:rPr>
          <w:rFonts w:ascii="Titillium" w:hAnsi="Titillium"/>
          <w:b/>
          <w:sz w:val="36"/>
          <w:szCs w:val="36"/>
          <w:lang w:eastAsia="it-IT"/>
        </w:rPr>
      </w:pPr>
    </w:p>
    <w:p w14:paraId="7EB5C4C1" w14:textId="77777777" w:rsidR="003E02B6" w:rsidRDefault="00870286" w:rsidP="00804D82">
      <w:pPr>
        <w:widowControl w:val="0"/>
        <w:spacing w:before="60" w:after="60"/>
        <w:jc w:val="left"/>
        <w:sectPr w:rsidR="003E02B6" w:rsidSect="002F0BFC">
          <w:headerReference w:type="default" r:id="rId8"/>
          <w:footerReference w:type="default" r:id="rId9"/>
          <w:pgSz w:w="11906" w:h="16838" w:code="9"/>
          <w:pgMar w:top="2268" w:right="1134" w:bottom="680" w:left="1548" w:header="851" w:footer="454" w:gutter="0"/>
          <w:cols w:space="720"/>
          <w:formProt w:val="0"/>
          <w:docGrid w:linePitch="326"/>
        </w:sectPr>
      </w:pPr>
      <w:r>
        <w:br w:type="page"/>
      </w:r>
    </w:p>
    <w:tbl>
      <w:tblPr>
        <w:tblStyle w:val="Grigliatabella"/>
        <w:tblW w:w="5000" w:type="pct"/>
        <w:tblLook w:val="04A0" w:firstRow="1" w:lastRow="0" w:firstColumn="1" w:lastColumn="0" w:noHBand="0" w:noVBand="1"/>
      </w:tblPr>
      <w:tblGrid>
        <w:gridCol w:w="1830"/>
        <w:gridCol w:w="9463"/>
        <w:gridCol w:w="957"/>
        <w:gridCol w:w="2027"/>
      </w:tblGrid>
      <w:tr w:rsidR="003E02B6" w:rsidRPr="00942059" w14:paraId="29F073FE" w14:textId="77777777" w:rsidTr="00F65CA5">
        <w:trPr>
          <w:trHeight w:val="567"/>
        </w:trPr>
        <w:tc>
          <w:tcPr>
            <w:tcW w:w="641" w:type="pct"/>
            <w:shd w:val="clear" w:color="auto" w:fill="E7E6E6" w:themeFill="background2"/>
            <w:vAlign w:val="center"/>
          </w:tcPr>
          <w:p w14:paraId="3E5D352E" w14:textId="77777777" w:rsidR="003E02B6" w:rsidRPr="00942059" w:rsidRDefault="003E02B6" w:rsidP="00F65CA5">
            <w:pPr>
              <w:jc w:val="center"/>
              <w:rPr>
                <w:rFonts w:ascii="Titillium" w:hAnsi="Titillium"/>
                <w:b/>
                <w:bCs/>
                <w:sz w:val="20"/>
                <w:szCs w:val="18"/>
              </w:rPr>
            </w:pPr>
            <w:bookmarkStart w:id="0" w:name="_Toc482101906"/>
            <w:bookmarkStart w:id="1" w:name="_Toc482101812"/>
            <w:bookmarkStart w:id="2" w:name="_Toc482101719"/>
            <w:bookmarkStart w:id="3" w:name="_Toc482101544"/>
            <w:bookmarkStart w:id="4" w:name="_Toc482101429"/>
            <w:bookmarkStart w:id="5" w:name="_Toc374026426"/>
            <w:bookmarkStart w:id="6" w:name="_Toc374025981"/>
            <w:bookmarkStart w:id="7" w:name="_Toc374025928"/>
            <w:bookmarkStart w:id="8" w:name="_Toc374025834"/>
            <w:bookmarkStart w:id="9" w:name="_Toc374025745"/>
            <w:bookmarkStart w:id="10" w:name="_Toc498419717"/>
            <w:bookmarkStart w:id="11" w:name="_Toc497831525"/>
            <w:bookmarkStart w:id="12" w:name="_Toc497728131"/>
            <w:bookmarkStart w:id="13" w:name="_Toc497484933"/>
            <w:bookmarkStart w:id="14" w:name="_Toc494359015"/>
            <w:bookmarkStart w:id="15" w:name="_Toc494358966"/>
            <w:bookmarkStart w:id="16" w:name="_Toc493500868"/>
            <w:bookmarkStart w:id="17" w:name="_Toc498419716"/>
            <w:bookmarkStart w:id="18" w:name="_Toc497831524"/>
            <w:bookmarkStart w:id="19" w:name="_Toc497728130"/>
            <w:bookmarkStart w:id="20" w:name="_Toc497484932"/>
            <w:bookmarkStart w:id="21" w:name="_Toc494359014"/>
            <w:bookmarkStart w:id="22" w:name="_Toc494358965"/>
            <w:bookmarkStart w:id="23" w:name="_Toc493500867"/>
            <w:bookmarkStart w:id="24" w:name="_Toc482102096"/>
            <w:bookmarkStart w:id="25" w:name="_Toc482102001"/>
            <w:bookmarkStart w:id="26" w:name="_Hlk190359004"/>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r w:rsidRPr="00942059">
              <w:rPr>
                <w:rFonts w:ascii="Titillium" w:hAnsi="Titillium"/>
                <w:b/>
                <w:bCs/>
                <w:sz w:val="20"/>
                <w:szCs w:val="18"/>
              </w:rPr>
              <w:lastRenderedPageBreak/>
              <w:t>Codice</w:t>
            </w:r>
          </w:p>
        </w:tc>
        <w:tc>
          <w:tcPr>
            <w:tcW w:w="3314" w:type="pct"/>
            <w:shd w:val="clear" w:color="auto" w:fill="E7E6E6" w:themeFill="background2"/>
            <w:vAlign w:val="center"/>
          </w:tcPr>
          <w:p w14:paraId="18CE0087" w14:textId="77777777" w:rsidR="003E02B6" w:rsidRPr="00942059" w:rsidRDefault="003E02B6" w:rsidP="00F65CA5">
            <w:pPr>
              <w:jc w:val="center"/>
              <w:rPr>
                <w:rFonts w:ascii="Titillium" w:hAnsi="Titillium"/>
                <w:b/>
                <w:bCs/>
                <w:sz w:val="20"/>
                <w:szCs w:val="18"/>
              </w:rPr>
            </w:pPr>
            <w:r w:rsidRPr="00942059">
              <w:rPr>
                <w:rFonts w:ascii="Titillium" w:hAnsi="Titillium"/>
                <w:b/>
                <w:bCs/>
                <w:sz w:val="20"/>
                <w:szCs w:val="18"/>
              </w:rPr>
              <w:t>DESCRIZIONE COMPLETA DEGLI ARREDI</w:t>
            </w:r>
          </w:p>
        </w:tc>
        <w:tc>
          <w:tcPr>
            <w:tcW w:w="335" w:type="pct"/>
            <w:shd w:val="clear" w:color="auto" w:fill="E7E6E6" w:themeFill="background2"/>
            <w:vAlign w:val="center"/>
          </w:tcPr>
          <w:p w14:paraId="31F6F437" w14:textId="77777777" w:rsidR="003E02B6" w:rsidRPr="00942059" w:rsidRDefault="003E02B6" w:rsidP="00F65CA5">
            <w:pPr>
              <w:jc w:val="center"/>
              <w:rPr>
                <w:rFonts w:ascii="Titillium" w:hAnsi="Titillium"/>
                <w:b/>
                <w:bCs/>
                <w:sz w:val="20"/>
                <w:szCs w:val="18"/>
              </w:rPr>
            </w:pPr>
            <w:r w:rsidRPr="00942059">
              <w:rPr>
                <w:rFonts w:ascii="Titillium" w:hAnsi="Titillium"/>
                <w:b/>
                <w:bCs/>
                <w:sz w:val="20"/>
                <w:szCs w:val="18"/>
              </w:rPr>
              <w:t>U.M.</w:t>
            </w:r>
          </w:p>
        </w:tc>
        <w:tc>
          <w:tcPr>
            <w:tcW w:w="710" w:type="pct"/>
            <w:shd w:val="clear" w:color="auto" w:fill="E7E6E6" w:themeFill="background2"/>
            <w:vAlign w:val="center"/>
          </w:tcPr>
          <w:p w14:paraId="6A03AC28" w14:textId="77777777" w:rsidR="003E02B6" w:rsidRPr="00942059" w:rsidRDefault="003E02B6" w:rsidP="00F65CA5">
            <w:pPr>
              <w:jc w:val="center"/>
              <w:rPr>
                <w:rFonts w:ascii="Titillium" w:hAnsi="Titillium"/>
                <w:b/>
                <w:bCs/>
                <w:sz w:val="20"/>
                <w:szCs w:val="18"/>
              </w:rPr>
            </w:pPr>
            <w:r w:rsidRPr="00942059">
              <w:rPr>
                <w:rFonts w:ascii="Titillium" w:hAnsi="Titillium"/>
                <w:b/>
                <w:bCs/>
                <w:sz w:val="20"/>
                <w:szCs w:val="18"/>
              </w:rPr>
              <w:t>Prezzo Unitario (€)</w:t>
            </w:r>
          </w:p>
        </w:tc>
      </w:tr>
      <w:tr w:rsidR="003E02B6" w:rsidRPr="00942059" w14:paraId="57E24F06" w14:textId="77777777" w:rsidTr="00944568">
        <w:trPr>
          <w:trHeight w:val="567"/>
        </w:trPr>
        <w:tc>
          <w:tcPr>
            <w:tcW w:w="5000" w:type="pct"/>
            <w:gridSpan w:val="4"/>
            <w:shd w:val="clear" w:color="auto" w:fill="auto"/>
            <w:vAlign w:val="center"/>
          </w:tcPr>
          <w:p w14:paraId="089E9B9D" w14:textId="77777777" w:rsidR="003E02B6" w:rsidRPr="00942059" w:rsidRDefault="003E02B6" w:rsidP="00944568">
            <w:pPr>
              <w:rPr>
                <w:rFonts w:ascii="Titillium" w:hAnsi="Titillium"/>
                <w:b/>
                <w:bCs/>
              </w:rPr>
            </w:pPr>
            <w:r w:rsidRPr="00942059">
              <w:rPr>
                <w:rFonts w:ascii="Titillium" w:hAnsi="Titillium"/>
                <w:b/>
                <w:bCs/>
              </w:rPr>
              <w:t>Arredi per Ufficio Dirigente*</w:t>
            </w:r>
          </w:p>
          <w:p w14:paraId="47C47C53" w14:textId="77777777" w:rsidR="003E02B6" w:rsidRPr="00942059" w:rsidRDefault="003E02B6" w:rsidP="00944568">
            <w:pPr>
              <w:rPr>
                <w:rFonts w:ascii="Titillium" w:hAnsi="Titillium"/>
                <w:b/>
                <w:bCs/>
                <w:i/>
                <w:iCs/>
                <w:sz w:val="16"/>
                <w:szCs w:val="16"/>
              </w:rPr>
            </w:pPr>
            <w:r w:rsidRPr="00942059">
              <w:rPr>
                <w:rFonts w:ascii="Titillium" w:hAnsi="Titillium"/>
                <w:b/>
                <w:bCs/>
                <w:i/>
                <w:iCs/>
                <w:sz w:val="16"/>
                <w:szCs w:val="16"/>
              </w:rPr>
              <w:t>*Tutte le forniture appartenenti a questa area dovranno essere coordinate in termini di materiali e finiture.</w:t>
            </w:r>
          </w:p>
        </w:tc>
      </w:tr>
      <w:tr w:rsidR="003E02B6" w:rsidRPr="00942059" w14:paraId="148CAACD" w14:textId="77777777" w:rsidTr="00944568">
        <w:trPr>
          <w:trHeight w:val="1134"/>
        </w:trPr>
        <w:tc>
          <w:tcPr>
            <w:tcW w:w="641" w:type="pct"/>
            <w:shd w:val="clear" w:color="auto" w:fill="auto"/>
          </w:tcPr>
          <w:p w14:paraId="1FFE6EFA" w14:textId="777777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t>DIR 01-a</w:t>
            </w:r>
          </w:p>
        </w:tc>
        <w:tc>
          <w:tcPr>
            <w:tcW w:w="3314" w:type="pct"/>
            <w:shd w:val="clear" w:color="auto" w:fill="auto"/>
          </w:tcPr>
          <w:p w14:paraId="7EF41F78"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una scrivania direzionale rettangolare delle dimensioni di circa cm. 160-180x80-100x70-75 (</w:t>
            </w:r>
            <w:proofErr w:type="spellStart"/>
            <w:r w:rsidRPr="00942059">
              <w:rPr>
                <w:rFonts w:ascii="Titillium" w:hAnsi="Titillium"/>
                <w:sz w:val="18"/>
                <w:szCs w:val="18"/>
              </w:rPr>
              <w:t>LxPxH</w:t>
            </w:r>
            <w:proofErr w:type="spellEnd"/>
            <w:r w:rsidRPr="00942059">
              <w:rPr>
                <w:rFonts w:ascii="Titillium" w:hAnsi="Titillium"/>
                <w:sz w:val="18"/>
                <w:szCs w:val="18"/>
              </w:rPr>
              <w:t>) avente piano di lavoro in legno realizzato in truciolare (classe E1), spessore a partire da mm 25, con rivestimento su ambo i lati in impiallacciatura in legno,</w:t>
            </w:r>
            <w:r w:rsidRPr="00942059">
              <w:rPr>
                <w:rFonts w:ascii="Titillium" w:hAnsi="Titillium"/>
                <w:strike/>
                <w:sz w:val="18"/>
                <w:szCs w:val="18"/>
              </w:rPr>
              <w:t xml:space="preserve"> </w:t>
            </w:r>
            <w:r w:rsidRPr="00942059">
              <w:rPr>
                <w:rFonts w:ascii="Titillium" w:hAnsi="Titillium"/>
                <w:sz w:val="18"/>
                <w:szCs w:val="18"/>
              </w:rPr>
              <w:t xml:space="preserve">antiriflesso e antigraffio. I piani di lavoro sono arrotondati e bordati con uno spessore a partire da mm 2. La struttura della scrivania deve soddisfare i requisiti di stabilità, resistenza, durabilità ed eleganza estetica; la struttura può essere realizzata in acciaio cromato, in alluminio lucido, in alluminio verniciato a polveri epossidiche, in vetro temperato, in legno, etc. La scrivania deve essere provvista di apposita canalizzazione dei cavi orizzontale e verticale (a titolo esemplificativo: canalina orizzontale sottostante il piano di lavoro, canalina magnetica verticale collegata alla struttura della scrivania per il passaggio dei cavi, o vertebra, etc.) e di uno sportello passacavi in alluminio opaco dotato di spazzola sul piano di lavoro (ad es. </w:t>
            </w:r>
            <w:r w:rsidRPr="00942059">
              <w:rPr>
                <w:rFonts w:ascii="Titillium" w:hAnsi="Titillium"/>
                <w:i/>
                <w:iCs/>
                <w:sz w:val="18"/>
                <w:szCs w:val="18"/>
              </w:rPr>
              <w:t>top access</w:t>
            </w:r>
            <w:r w:rsidRPr="00942059">
              <w:rPr>
                <w:rFonts w:ascii="Titillium" w:hAnsi="Titillium"/>
                <w:sz w:val="18"/>
                <w:szCs w:val="18"/>
              </w:rPr>
              <w:t>). Le finiture sono da definire in relazione ad una rosa di colori proposta. Il prezzo unitario remunera altresì il trasporto, il tiro in alto, il montaggio, lo smaltimento imballaggi e ogni onere e magistero per fornire il prodotto installato a perfetta regola d’arte.</w:t>
            </w:r>
          </w:p>
        </w:tc>
        <w:tc>
          <w:tcPr>
            <w:tcW w:w="335" w:type="pct"/>
            <w:shd w:val="clear" w:color="auto" w:fill="auto"/>
            <w:vAlign w:val="bottom"/>
          </w:tcPr>
          <w:p w14:paraId="766836B3"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10" w:type="pct"/>
            <w:shd w:val="clear" w:color="auto" w:fill="auto"/>
            <w:vAlign w:val="bottom"/>
          </w:tcPr>
          <w:p w14:paraId="170777D3"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1.664,52 €</w:t>
            </w:r>
          </w:p>
        </w:tc>
      </w:tr>
      <w:tr w:rsidR="003E02B6" w:rsidRPr="00942059" w14:paraId="5502C165" w14:textId="77777777" w:rsidTr="00944568">
        <w:trPr>
          <w:trHeight w:val="556"/>
        </w:trPr>
        <w:tc>
          <w:tcPr>
            <w:tcW w:w="641" w:type="pct"/>
            <w:shd w:val="clear" w:color="auto" w:fill="auto"/>
          </w:tcPr>
          <w:p w14:paraId="73814972" w14:textId="777777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t>DIR 01-b</w:t>
            </w:r>
          </w:p>
        </w:tc>
        <w:tc>
          <w:tcPr>
            <w:tcW w:w="3314" w:type="pct"/>
            <w:shd w:val="clear" w:color="auto" w:fill="auto"/>
          </w:tcPr>
          <w:p w14:paraId="41EB857D"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una scrivania direzionale rettangolare delle dimensioni di circa cm. 160-180x80-100x70-75 (</w:t>
            </w:r>
            <w:proofErr w:type="spellStart"/>
            <w:r w:rsidRPr="00942059">
              <w:rPr>
                <w:rFonts w:ascii="Titillium" w:hAnsi="Titillium"/>
                <w:sz w:val="18"/>
                <w:szCs w:val="18"/>
              </w:rPr>
              <w:t>LxPxH</w:t>
            </w:r>
            <w:proofErr w:type="spellEnd"/>
            <w:r w:rsidRPr="00942059">
              <w:rPr>
                <w:rFonts w:ascii="Titillium" w:hAnsi="Titillium"/>
                <w:sz w:val="18"/>
                <w:szCs w:val="18"/>
              </w:rPr>
              <w:t>) avente piano di lavoro in legno realizzato in truciolare (classe E1), spessore a partire da mm 25, con rivestimento su ambo i lati in nobilitato melaminico,</w:t>
            </w:r>
            <w:r w:rsidRPr="00942059">
              <w:rPr>
                <w:rFonts w:ascii="Titillium" w:hAnsi="Titillium"/>
                <w:strike/>
                <w:sz w:val="18"/>
                <w:szCs w:val="18"/>
              </w:rPr>
              <w:t xml:space="preserve"> </w:t>
            </w:r>
            <w:r w:rsidRPr="00942059">
              <w:rPr>
                <w:rFonts w:ascii="Titillium" w:hAnsi="Titillium"/>
                <w:sz w:val="18"/>
                <w:szCs w:val="18"/>
              </w:rPr>
              <w:t xml:space="preserve">antiriflesso e antigraffio. I piani di lavoro sono arrotondati e bordati con uno spessore a partire da mm 2. La struttura della scrivania deve soddisfare i requisiti di stabilità, resistenza, durabilità ed eleganza estetica; la struttura può essere realizzata in acciaio cromato, in alluminio lucido, in alluminio verniciato a polveri epossidiche, in vetro temperato, in legno, etc. La scrivania deve essere provvista di apposita canalizzazione dei cavi orizzontale e verticale (a titolo esemplificativo: canalina orizzontale sottostante il piano di lavoro, canalina magnetica verticale collegata alla struttura della scrivania per il passaggio dei cavi, o vertebra, etc.) e di uno sportello passacavi in alluminio opaco dotato di spazzola sul piano di lavoro (ad es. </w:t>
            </w:r>
            <w:r w:rsidRPr="00942059">
              <w:rPr>
                <w:rFonts w:ascii="Titillium" w:hAnsi="Titillium"/>
                <w:i/>
                <w:iCs/>
                <w:sz w:val="18"/>
                <w:szCs w:val="18"/>
              </w:rPr>
              <w:t>top access</w:t>
            </w:r>
            <w:r w:rsidRPr="00942059">
              <w:rPr>
                <w:rFonts w:ascii="Titillium" w:hAnsi="Titillium"/>
                <w:sz w:val="18"/>
                <w:szCs w:val="18"/>
              </w:rPr>
              <w:t>). Le finiture sono da definire in relazione ad una rosa di colori proposta. Il prezzo unitario remunera altresì il trasporto, il tiro in alto, il montaggio, lo smaltimento imballaggi e ogni onere e magistero per fornire il prodotto installato a perfetta regola d’arte.</w:t>
            </w:r>
          </w:p>
        </w:tc>
        <w:tc>
          <w:tcPr>
            <w:tcW w:w="335" w:type="pct"/>
            <w:shd w:val="clear" w:color="auto" w:fill="auto"/>
            <w:vAlign w:val="bottom"/>
          </w:tcPr>
          <w:p w14:paraId="036CD59E"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10" w:type="pct"/>
            <w:shd w:val="clear" w:color="auto" w:fill="auto"/>
            <w:vAlign w:val="bottom"/>
          </w:tcPr>
          <w:p w14:paraId="014BD3A3"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541,76 €</w:t>
            </w:r>
          </w:p>
        </w:tc>
      </w:tr>
      <w:tr w:rsidR="003E02B6" w:rsidRPr="00942059" w14:paraId="199F0304" w14:textId="77777777" w:rsidTr="00944568">
        <w:trPr>
          <w:trHeight w:val="853"/>
        </w:trPr>
        <w:tc>
          <w:tcPr>
            <w:tcW w:w="641" w:type="pct"/>
            <w:shd w:val="clear" w:color="auto" w:fill="auto"/>
          </w:tcPr>
          <w:p w14:paraId="65C22DD6" w14:textId="77777777" w:rsidR="003E02B6" w:rsidRPr="00942059" w:rsidRDefault="003E02B6" w:rsidP="00944568">
            <w:pPr>
              <w:jc w:val="center"/>
              <w:rPr>
                <w:rFonts w:ascii="Titillium" w:hAnsi="Titillium"/>
                <w:sz w:val="20"/>
                <w:szCs w:val="18"/>
              </w:rPr>
            </w:pPr>
            <w:r w:rsidRPr="00942059">
              <w:rPr>
                <w:rFonts w:ascii="Titillium" w:hAnsi="Titillium"/>
                <w:b/>
                <w:bCs/>
                <w:sz w:val="20"/>
                <w:szCs w:val="18"/>
              </w:rPr>
              <w:t>DIR 02</w:t>
            </w:r>
          </w:p>
        </w:tc>
        <w:tc>
          <w:tcPr>
            <w:tcW w:w="3314" w:type="pct"/>
            <w:shd w:val="clear" w:color="auto" w:fill="auto"/>
          </w:tcPr>
          <w:p w14:paraId="6565507E"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poltrona direzionale per visitatori su ruote, con braccioli e base a cinque razze realizzate in acciaio cromato, o in alluminio lucido, o in alluminio verniciato a polveri epossidiche.</w:t>
            </w:r>
          </w:p>
          <w:p w14:paraId="7ACDE53C" w14:textId="77777777" w:rsidR="003E02B6" w:rsidRPr="00942059" w:rsidRDefault="003E02B6" w:rsidP="00944568">
            <w:pPr>
              <w:rPr>
                <w:rFonts w:ascii="Titillium" w:hAnsi="Titillium"/>
                <w:sz w:val="18"/>
                <w:szCs w:val="18"/>
              </w:rPr>
            </w:pPr>
            <w:r w:rsidRPr="00942059">
              <w:rPr>
                <w:rFonts w:ascii="Titillium" w:hAnsi="Titillium"/>
                <w:sz w:val="18"/>
                <w:szCs w:val="18"/>
              </w:rPr>
              <w:t xml:space="preserve">Sia il sedile che lo schienale devono essere imbottiti e rivestiti in pelle o tessuto ignifugo. Deve essere conforme alle normative vigenti in materia di sicurezza e salute sul lavoro, in particolare al D.Lgs. 81/08 e alle normative UNI EN 16139. Inoltre, deve possedere una classe di reazione al fuoco pari a 1IM, come previsto dalle normative di sicurezza antincendio. Le finiture sono da definire in relazione ad una rosa di colori proposta. Il prezzo unitario remunera altresì il trasporto, il tiro in alto, il montaggio, lo smaltimento imballaggi e ogni onere e magistero per fornire il prodotto installato a perfetta regola d’arte. </w:t>
            </w:r>
          </w:p>
        </w:tc>
        <w:tc>
          <w:tcPr>
            <w:tcW w:w="335" w:type="pct"/>
            <w:shd w:val="clear" w:color="auto" w:fill="auto"/>
            <w:vAlign w:val="bottom"/>
          </w:tcPr>
          <w:p w14:paraId="47E02B7A"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10" w:type="pct"/>
            <w:shd w:val="clear" w:color="auto" w:fill="auto"/>
            <w:vAlign w:val="bottom"/>
          </w:tcPr>
          <w:p w14:paraId="7DF0CABF"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429,28 €</w:t>
            </w:r>
          </w:p>
        </w:tc>
      </w:tr>
      <w:tr w:rsidR="003E02B6" w:rsidRPr="00942059" w14:paraId="2927ED39" w14:textId="77777777" w:rsidTr="00F65CA5">
        <w:trPr>
          <w:trHeight w:val="567"/>
        </w:trPr>
        <w:tc>
          <w:tcPr>
            <w:tcW w:w="641" w:type="pct"/>
            <w:shd w:val="clear" w:color="auto" w:fill="E7E6E6" w:themeFill="background2"/>
            <w:vAlign w:val="center"/>
          </w:tcPr>
          <w:p w14:paraId="3AA82095" w14:textId="77777777" w:rsidR="003E02B6" w:rsidRPr="00942059" w:rsidRDefault="003E02B6" w:rsidP="00F65CA5">
            <w:pPr>
              <w:jc w:val="center"/>
              <w:rPr>
                <w:rFonts w:ascii="Titillium" w:hAnsi="Titillium"/>
                <w:b/>
                <w:bCs/>
                <w:sz w:val="20"/>
                <w:szCs w:val="18"/>
              </w:rPr>
            </w:pPr>
            <w:r w:rsidRPr="00942059">
              <w:rPr>
                <w:rFonts w:ascii="Titillium" w:hAnsi="Titillium"/>
                <w:b/>
                <w:bCs/>
                <w:sz w:val="20"/>
                <w:szCs w:val="18"/>
              </w:rPr>
              <w:lastRenderedPageBreak/>
              <w:t>Codice</w:t>
            </w:r>
          </w:p>
        </w:tc>
        <w:tc>
          <w:tcPr>
            <w:tcW w:w="3314" w:type="pct"/>
            <w:shd w:val="clear" w:color="auto" w:fill="E7E6E6" w:themeFill="background2"/>
            <w:vAlign w:val="center"/>
          </w:tcPr>
          <w:p w14:paraId="5EF6D83B" w14:textId="77777777" w:rsidR="003E02B6" w:rsidRPr="00942059" w:rsidRDefault="003E02B6" w:rsidP="00F65CA5">
            <w:pPr>
              <w:jc w:val="center"/>
              <w:rPr>
                <w:rFonts w:ascii="Titillium" w:hAnsi="Titillium"/>
                <w:b/>
                <w:bCs/>
                <w:sz w:val="20"/>
                <w:szCs w:val="18"/>
              </w:rPr>
            </w:pPr>
            <w:r w:rsidRPr="00942059">
              <w:rPr>
                <w:rFonts w:ascii="Titillium" w:hAnsi="Titillium"/>
                <w:b/>
                <w:bCs/>
                <w:sz w:val="20"/>
                <w:szCs w:val="18"/>
              </w:rPr>
              <w:t>DESCRIZIONE COMPLETA DEGLI ARREDI</w:t>
            </w:r>
          </w:p>
        </w:tc>
        <w:tc>
          <w:tcPr>
            <w:tcW w:w="335" w:type="pct"/>
            <w:shd w:val="clear" w:color="auto" w:fill="E7E6E6" w:themeFill="background2"/>
            <w:vAlign w:val="center"/>
          </w:tcPr>
          <w:p w14:paraId="3ED2430C" w14:textId="77777777" w:rsidR="003E02B6" w:rsidRPr="00942059" w:rsidRDefault="003E02B6" w:rsidP="00F65CA5">
            <w:pPr>
              <w:jc w:val="center"/>
              <w:rPr>
                <w:rFonts w:ascii="Titillium" w:hAnsi="Titillium"/>
                <w:b/>
                <w:bCs/>
                <w:sz w:val="20"/>
                <w:szCs w:val="18"/>
              </w:rPr>
            </w:pPr>
            <w:r w:rsidRPr="00942059">
              <w:rPr>
                <w:rFonts w:ascii="Titillium" w:hAnsi="Titillium"/>
                <w:b/>
                <w:bCs/>
                <w:sz w:val="20"/>
                <w:szCs w:val="18"/>
              </w:rPr>
              <w:t>U.M.</w:t>
            </w:r>
          </w:p>
        </w:tc>
        <w:tc>
          <w:tcPr>
            <w:tcW w:w="710" w:type="pct"/>
            <w:shd w:val="clear" w:color="auto" w:fill="E7E6E6" w:themeFill="background2"/>
            <w:vAlign w:val="center"/>
          </w:tcPr>
          <w:p w14:paraId="2363079E" w14:textId="77777777" w:rsidR="003E02B6" w:rsidRPr="00942059" w:rsidRDefault="003E02B6" w:rsidP="00F65CA5">
            <w:pPr>
              <w:jc w:val="center"/>
              <w:rPr>
                <w:rFonts w:ascii="Titillium" w:hAnsi="Titillium"/>
                <w:b/>
                <w:bCs/>
                <w:sz w:val="20"/>
                <w:szCs w:val="18"/>
              </w:rPr>
            </w:pPr>
            <w:r w:rsidRPr="00942059">
              <w:rPr>
                <w:rFonts w:ascii="Titillium" w:hAnsi="Titillium"/>
                <w:b/>
                <w:bCs/>
                <w:sz w:val="20"/>
                <w:szCs w:val="18"/>
              </w:rPr>
              <w:t>Prezzo Unitario (€)</w:t>
            </w:r>
          </w:p>
        </w:tc>
      </w:tr>
      <w:tr w:rsidR="003E02B6" w:rsidRPr="00942059" w14:paraId="79397AB2" w14:textId="77777777" w:rsidTr="00944568">
        <w:trPr>
          <w:trHeight w:val="567"/>
        </w:trPr>
        <w:tc>
          <w:tcPr>
            <w:tcW w:w="5000" w:type="pct"/>
            <w:gridSpan w:val="4"/>
            <w:shd w:val="clear" w:color="auto" w:fill="auto"/>
            <w:vAlign w:val="center"/>
          </w:tcPr>
          <w:p w14:paraId="7BC47FB7" w14:textId="77777777" w:rsidR="003E02B6" w:rsidRPr="00942059" w:rsidRDefault="003E02B6" w:rsidP="00944568">
            <w:pPr>
              <w:rPr>
                <w:rFonts w:ascii="Titillium" w:hAnsi="Titillium"/>
                <w:b/>
                <w:bCs/>
              </w:rPr>
            </w:pPr>
            <w:r w:rsidRPr="00942059">
              <w:rPr>
                <w:rFonts w:ascii="Titillium" w:hAnsi="Titillium"/>
                <w:b/>
                <w:bCs/>
              </w:rPr>
              <w:t>Arredi per Ufficio Dirigente*</w:t>
            </w:r>
          </w:p>
          <w:p w14:paraId="3C6491C8" w14:textId="77777777" w:rsidR="003E02B6" w:rsidRPr="00942059" w:rsidRDefault="003E02B6" w:rsidP="00944568">
            <w:pPr>
              <w:rPr>
                <w:rFonts w:ascii="Titillium" w:hAnsi="Titillium"/>
                <w:b/>
                <w:bCs/>
                <w:i/>
                <w:iCs/>
                <w:sz w:val="16"/>
                <w:szCs w:val="16"/>
              </w:rPr>
            </w:pPr>
            <w:r w:rsidRPr="00942059">
              <w:rPr>
                <w:rFonts w:ascii="Titillium" w:hAnsi="Titillium"/>
                <w:b/>
                <w:bCs/>
                <w:i/>
                <w:iCs/>
                <w:sz w:val="16"/>
                <w:szCs w:val="16"/>
              </w:rPr>
              <w:t>*Tutte le forniture appartenenti a questa area dovranno essere coordinate in termini di materiali e finiture.</w:t>
            </w:r>
          </w:p>
        </w:tc>
      </w:tr>
      <w:tr w:rsidR="003E02B6" w:rsidRPr="00942059" w14:paraId="6FE59464" w14:textId="77777777" w:rsidTr="00944568">
        <w:trPr>
          <w:trHeight w:val="1134"/>
        </w:trPr>
        <w:tc>
          <w:tcPr>
            <w:tcW w:w="641" w:type="pct"/>
            <w:shd w:val="clear" w:color="auto" w:fill="auto"/>
          </w:tcPr>
          <w:p w14:paraId="04436D39" w14:textId="0C210AF2" w:rsidR="003E02B6" w:rsidRPr="00942059" w:rsidRDefault="003E02B6" w:rsidP="00944568">
            <w:pPr>
              <w:jc w:val="center"/>
              <w:rPr>
                <w:rFonts w:ascii="Titillium" w:hAnsi="Titillium"/>
                <w:sz w:val="20"/>
                <w:szCs w:val="18"/>
              </w:rPr>
            </w:pPr>
            <w:r w:rsidRPr="00942059">
              <w:rPr>
                <w:rFonts w:ascii="Titillium" w:hAnsi="Titillium"/>
                <w:b/>
                <w:bCs/>
                <w:sz w:val="20"/>
                <w:szCs w:val="18"/>
              </w:rPr>
              <w:t>DIR 03-a</w:t>
            </w:r>
          </w:p>
        </w:tc>
        <w:tc>
          <w:tcPr>
            <w:tcW w:w="3314" w:type="pct"/>
            <w:shd w:val="clear" w:color="auto" w:fill="auto"/>
          </w:tcPr>
          <w:p w14:paraId="29C1E319"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mobile di servizio direzionale delle dimensioni di circa cm. 120-140x45-55x55-65 (</w:t>
            </w:r>
            <w:proofErr w:type="spellStart"/>
            <w:r w:rsidRPr="00942059">
              <w:rPr>
                <w:rFonts w:ascii="Titillium" w:hAnsi="Titillium"/>
                <w:sz w:val="18"/>
                <w:szCs w:val="18"/>
              </w:rPr>
              <w:t>LxPxH</w:t>
            </w:r>
            <w:proofErr w:type="spellEnd"/>
            <w:r w:rsidRPr="00942059">
              <w:rPr>
                <w:rFonts w:ascii="Titillium" w:hAnsi="Titillium"/>
                <w:sz w:val="18"/>
                <w:szCs w:val="18"/>
              </w:rPr>
              <w:t xml:space="preserve">), su ruote pivotanti. Il mobile deve essere caratterizzato da n.2 moduli, di cui uno a cassetti e uno ad ante battenti. La struttura, le ante, i ripiani e i cassetti devono essere in pannelli in legno realizzati in truciolare ad alta densità (classe E1), bordati e con raggio di curvatura pari ad almeno mm 2, con rivestimento su ambo i lati in impiallacciatura in legno, completo di </w:t>
            </w:r>
            <w:r w:rsidRPr="00942059">
              <w:rPr>
                <w:rFonts w:ascii="Titillium" w:hAnsi="Titillium"/>
                <w:i/>
                <w:iCs/>
                <w:sz w:val="18"/>
                <w:szCs w:val="18"/>
              </w:rPr>
              <w:t>top</w:t>
            </w:r>
            <w:r w:rsidRPr="00942059">
              <w:rPr>
                <w:rFonts w:ascii="Titillium" w:hAnsi="Titillium"/>
                <w:sz w:val="18"/>
                <w:szCs w:val="18"/>
              </w:rPr>
              <w:t xml:space="preserve"> a copertura dei due moduli. </w:t>
            </w:r>
          </w:p>
          <w:p w14:paraId="0E320330" w14:textId="77777777" w:rsidR="003E02B6" w:rsidRPr="00942059" w:rsidRDefault="003E02B6" w:rsidP="00944568">
            <w:pPr>
              <w:rPr>
                <w:rFonts w:ascii="Titillium" w:hAnsi="Titillium"/>
                <w:sz w:val="18"/>
                <w:szCs w:val="18"/>
              </w:rPr>
            </w:pPr>
            <w:r w:rsidRPr="00942059">
              <w:rPr>
                <w:rFonts w:ascii="Titillium" w:hAnsi="Titillium"/>
                <w:sz w:val="18"/>
                <w:szCs w:val="18"/>
              </w:rPr>
              <w:t>Il primo modulo è costituito da n.3-4 cassetti, dotati di chiusura centralizzata a cilindro estraibile fornito di doppia chiave pieghevole antinfortunistica; detto modulo deve presentare guide metalliche di tipo telescopico dotate di cuscinetti a sfera ad estrazione parziale e dispositivo di arresto a fine corsa, nonché deve essere dotato di maniglie “a ponte” o “a gola cava” orizzontale.</w:t>
            </w:r>
          </w:p>
          <w:p w14:paraId="2FB0F865" w14:textId="77777777" w:rsidR="003E02B6" w:rsidRPr="00942059" w:rsidRDefault="003E02B6" w:rsidP="00944568">
            <w:pPr>
              <w:rPr>
                <w:rFonts w:ascii="Titillium" w:hAnsi="Titillium"/>
                <w:sz w:val="18"/>
                <w:szCs w:val="18"/>
              </w:rPr>
            </w:pPr>
            <w:r w:rsidRPr="00942059">
              <w:rPr>
                <w:rFonts w:ascii="Titillium" w:hAnsi="Titillium"/>
                <w:sz w:val="18"/>
                <w:szCs w:val="18"/>
              </w:rPr>
              <w:t>Il secondo modulo è costituito da n.1-2 ante battenti, dotate di chiusura con cilindro estraibile fornito di doppia chiave pieghevole antinfortunistica, di maniglie “a ponte” o “a gola cava” verticale e di cerniere con fissaggio rapido a camma regolabili con apertura ad almeno 110°. Il modulo è completo di n.1 ripiano in legno truciolare ad alta densità (classe E1).</w:t>
            </w:r>
          </w:p>
          <w:p w14:paraId="3335F7C2" w14:textId="77777777" w:rsidR="003E02B6" w:rsidRPr="00942059" w:rsidRDefault="003E02B6" w:rsidP="00944568">
            <w:pPr>
              <w:rPr>
                <w:rFonts w:ascii="Titillium" w:hAnsi="Titillium"/>
                <w:sz w:val="18"/>
                <w:szCs w:val="18"/>
              </w:rPr>
            </w:pPr>
            <w:r w:rsidRPr="00942059">
              <w:rPr>
                <w:rFonts w:ascii="Titillium" w:hAnsi="Titillium"/>
                <w:sz w:val="18"/>
                <w:szCs w:val="18"/>
              </w:rPr>
              <w:t>Le finiture sono da definire in relazione ad una rosa di colori proposta e devono essere coordinate alla scrivania direzionale DIR 01-a. Il prezzo unitario remunera altresì il trasporto, il tiro in alto, il montaggio, lo smaltimento imballaggi e ogni onere e magistero per fornire il prodotto installato a perfetta regola d’arte.</w:t>
            </w:r>
          </w:p>
        </w:tc>
        <w:tc>
          <w:tcPr>
            <w:tcW w:w="335" w:type="pct"/>
            <w:shd w:val="clear" w:color="auto" w:fill="auto"/>
            <w:vAlign w:val="bottom"/>
          </w:tcPr>
          <w:p w14:paraId="386EA8BD"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10" w:type="pct"/>
            <w:shd w:val="clear" w:color="auto" w:fill="auto"/>
            <w:vAlign w:val="bottom"/>
          </w:tcPr>
          <w:p w14:paraId="084C3DA5"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1.380,56 €</w:t>
            </w:r>
          </w:p>
        </w:tc>
      </w:tr>
      <w:tr w:rsidR="003E02B6" w:rsidRPr="00942059" w14:paraId="2DD42955" w14:textId="77777777" w:rsidTr="00944568">
        <w:trPr>
          <w:trHeight w:val="853"/>
        </w:trPr>
        <w:tc>
          <w:tcPr>
            <w:tcW w:w="641" w:type="pct"/>
            <w:shd w:val="clear" w:color="auto" w:fill="auto"/>
          </w:tcPr>
          <w:p w14:paraId="557ABC09" w14:textId="777777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t>DIR 03-b</w:t>
            </w:r>
          </w:p>
        </w:tc>
        <w:tc>
          <w:tcPr>
            <w:tcW w:w="3314" w:type="pct"/>
            <w:shd w:val="clear" w:color="auto" w:fill="auto"/>
          </w:tcPr>
          <w:p w14:paraId="08542E17" w14:textId="4BDBAED6" w:rsidR="003E02B6" w:rsidRPr="00942059" w:rsidRDefault="003E02B6" w:rsidP="00944568">
            <w:pPr>
              <w:rPr>
                <w:rFonts w:ascii="Titillium" w:hAnsi="Titillium"/>
                <w:sz w:val="18"/>
                <w:szCs w:val="18"/>
              </w:rPr>
            </w:pPr>
            <w:r w:rsidRPr="00942059">
              <w:rPr>
                <w:rFonts w:ascii="Titillium" w:hAnsi="Titillium"/>
                <w:sz w:val="18"/>
                <w:szCs w:val="18"/>
              </w:rPr>
              <w:t xml:space="preserve">Fornitura e posa in opera di mobile di servizio direzionale delle dimensioni di circa </w:t>
            </w:r>
            <w:proofErr w:type="gramStart"/>
            <w:r w:rsidRPr="00942059">
              <w:rPr>
                <w:rFonts w:ascii="Titillium" w:hAnsi="Titillium"/>
                <w:sz w:val="18"/>
                <w:szCs w:val="18"/>
              </w:rPr>
              <w:t>cm  120</w:t>
            </w:r>
            <w:proofErr w:type="gramEnd"/>
            <w:r w:rsidRPr="00942059">
              <w:rPr>
                <w:rFonts w:ascii="Titillium" w:hAnsi="Titillium"/>
                <w:sz w:val="18"/>
                <w:szCs w:val="18"/>
              </w:rPr>
              <w:t>-140x45-55x55-65 (</w:t>
            </w:r>
            <w:proofErr w:type="spellStart"/>
            <w:r w:rsidRPr="00942059">
              <w:rPr>
                <w:rFonts w:ascii="Titillium" w:hAnsi="Titillium"/>
                <w:sz w:val="18"/>
                <w:szCs w:val="18"/>
              </w:rPr>
              <w:t>LxPxH</w:t>
            </w:r>
            <w:proofErr w:type="spellEnd"/>
            <w:r w:rsidRPr="00942059">
              <w:rPr>
                <w:rFonts w:ascii="Titillium" w:hAnsi="Titillium"/>
                <w:sz w:val="18"/>
                <w:szCs w:val="18"/>
              </w:rPr>
              <w:t xml:space="preserve">), su ruote pivotanti. Il mobile deve essere caratterizzato da n.2 moduli, di cui uno a cassetti e uno ad ante battenti. La struttura, le ante, i ripiani e i cassetti devono essere in pannelli in legno realizzati in truciolare ad alta densità (classe E1), bordati e con raggio di curvatura pari ad almeno mm 2, con rivestimento su ambo i lati in nobilitato melaminico, completo di </w:t>
            </w:r>
            <w:r w:rsidRPr="00942059">
              <w:rPr>
                <w:rFonts w:ascii="Titillium" w:hAnsi="Titillium"/>
                <w:i/>
                <w:iCs/>
                <w:sz w:val="18"/>
                <w:szCs w:val="18"/>
              </w:rPr>
              <w:t>top</w:t>
            </w:r>
            <w:r w:rsidRPr="00942059">
              <w:rPr>
                <w:rFonts w:ascii="Titillium" w:hAnsi="Titillium"/>
                <w:sz w:val="18"/>
                <w:szCs w:val="18"/>
              </w:rPr>
              <w:t xml:space="preserve"> a copertura dei due moduli. Il primo modulo è costituito da n.3-4 cassetti, dotati di chiusura centralizzata a cilindro estraibile fornito di doppia chiave pieghevole antinfortunistica, detto modulo deve presentare guide metalliche di tipo telescopico dotate di cuscinetti a sfera ad estrazione parziale e dispositivo di arresto a fine corsa, nonché deve essere dotato di</w:t>
            </w:r>
            <w:r w:rsidRPr="00942059" w:rsidDel="00CA6B4E">
              <w:rPr>
                <w:rFonts w:ascii="Titillium" w:hAnsi="Titillium"/>
                <w:sz w:val="18"/>
                <w:szCs w:val="18"/>
              </w:rPr>
              <w:t xml:space="preserve"> </w:t>
            </w:r>
            <w:r w:rsidRPr="00942059">
              <w:rPr>
                <w:rFonts w:ascii="Titillium" w:hAnsi="Titillium"/>
                <w:sz w:val="18"/>
                <w:szCs w:val="18"/>
              </w:rPr>
              <w:t>maniglie “a ponte” o “a gola cava” orizzontale.</w:t>
            </w:r>
          </w:p>
          <w:p w14:paraId="2078DBFC" w14:textId="77777777" w:rsidR="003E02B6" w:rsidRPr="00942059" w:rsidRDefault="003E02B6" w:rsidP="00944568">
            <w:pPr>
              <w:rPr>
                <w:rFonts w:ascii="Titillium" w:hAnsi="Titillium"/>
                <w:sz w:val="18"/>
                <w:szCs w:val="18"/>
              </w:rPr>
            </w:pPr>
            <w:r w:rsidRPr="00942059">
              <w:rPr>
                <w:rFonts w:ascii="Titillium" w:hAnsi="Titillium"/>
                <w:sz w:val="18"/>
                <w:szCs w:val="18"/>
              </w:rPr>
              <w:t>Il secondo modulo è costituito da n.1-2 ante battenti, dotate di chiusura con cilindro estraibile fornito di doppia chiave pieghevole antinfortunistica, di maniglie “a ponte” o “a gola cava” verticale, di cerniere con fissaggio rapido a camma regolabili con apertura ad almeno 110°. Il modulo è completo di n.1 ripiano in legno truciolare ad alta densità (classe E1).</w:t>
            </w:r>
          </w:p>
          <w:p w14:paraId="579C0BCA" w14:textId="77777777" w:rsidR="003E02B6" w:rsidRPr="00942059" w:rsidRDefault="003E02B6" w:rsidP="00944568">
            <w:pPr>
              <w:rPr>
                <w:rFonts w:ascii="Titillium" w:hAnsi="Titillium"/>
                <w:sz w:val="18"/>
                <w:szCs w:val="18"/>
              </w:rPr>
            </w:pPr>
            <w:r w:rsidRPr="00942059">
              <w:rPr>
                <w:rFonts w:ascii="Titillium" w:hAnsi="Titillium"/>
                <w:sz w:val="18"/>
                <w:szCs w:val="18"/>
              </w:rPr>
              <w:t>Le finiture sono da definire in relazione ad una rosa di colori proposta e devono essere coordinate alla scrivania direzionale DIR 01-b. Il prezzo unitario remunera altresì il trasporto, il tiro in alto, il montaggio, lo smaltimento imballaggi e ogni onere e magistero per fornire il prodotto installato a perfetta regola d’arte.</w:t>
            </w:r>
          </w:p>
        </w:tc>
        <w:tc>
          <w:tcPr>
            <w:tcW w:w="335" w:type="pct"/>
            <w:shd w:val="clear" w:color="auto" w:fill="auto"/>
            <w:vAlign w:val="bottom"/>
          </w:tcPr>
          <w:p w14:paraId="187D3BE5"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10" w:type="pct"/>
            <w:shd w:val="clear" w:color="auto" w:fill="auto"/>
            <w:vAlign w:val="bottom"/>
          </w:tcPr>
          <w:p w14:paraId="176F8F2B"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575,01 €</w:t>
            </w:r>
          </w:p>
        </w:tc>
      </w:tr>
      <w:tr w:rsidR="003E02B6" w:rsidRPr="00942059" w14:paraId="06ECAC2F" w14:textId="77777777" w:rsidTr="00944568">
        <w:trPr>
          <w:trHeight w:val="567"/>
        </w:trPr>
        <w:tc>
          <w:tcPr>
            <w:tcW w:w="641" w:type="pct"/>
            <w:shd w:val="clear" w:color="auto" w:fill="E7E6E6" w:themeFill="background2"/>
            <w:vAlign w:val="center"/>
          </w:tcPr>
          <w:p w14:paraId="5307956A" w14:textId="777777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lastRenderedPageBreak/>
              <w:t>Codice</w:t>
            </w:r>
          </w:p>
        </w:tc>
        <w:tc>
          <w:tcPr>
            <w:tcW w:w="3314" w:type="pct"/>
            <w:shd w:val="clear" w:color="auto" w:fill="E7E6E6" w:themeFill="background2"/>
            <w:vAlign w:val="center"/>
          </w:tcPr>
          <w:p w14:paraId="64FBD3AE" w14:textId="777777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t>DESCRIZIONE COMPLETA DEGLI ARREDI</w:t>
            </w:r>
          </w:p>
        </w:tc>
        <w:tc>
          <w:tcPr>
            <w:tcW w:w="335" w:type="pct"/>
            <w:shd w:val="clear" w:color="auto" w:fill="E7E6E6" w:themeFill="background2"/>
            <w:vAlign w:val="center"/>
          </w:tcPr>
          <w:p w14:paraId="2BF4A1B0" w14:textId="777777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t>U.M.</w:t>
            </w:r>
          </w:p>
        </w:tc>
        <w:tc>
          <w:tcPr>
            <w:tcW w:w="710" w:type="pct"/>
            <w:shd w:val="clear" w:color="auto" w:fill="E7E6E6" w:themeFill="background2"/>
            <w:vAlign w:val="center"/>
          </w:tcPr>
          <w:p w14:paraId="62EBB0DB" w14:textId="77777777" w:rsidR="003E02B6" w:rsidRPr="00942059" w:rsidRDefault="003E02B6" w:rsidP="00F65CA5">
            <w:pPr>
              <w:jc w:val="center"/>
              <w:rPr>
                <w:rFonts w:ascii="Titillium" w:hAnsi="Titillium"/>
                <w:b/>
                <w:bCs/>
                <w:sz w:val="20"/>
                <w:szCs w:val="18"/>
              </w:rPr>
            </w:pPr>
            <w:r w:rsidRPr="00942059">
              <w:rPr>
                <w:rFonts w:ascii="Titillium" w:hAnsi="Titillium"/>
                <w:b/>
                <w:bCs/>
                <w:sz w:val="20"/>
                <w:szCs w:val="18"/>
              </w:rPr>
              <w:t>Prezzo Unitario (€)</w:t>
            </w:r>
          </w:p>
        </w:tc>
      </w:tr>
      <w:tr w:rsidR="003E02B6" w:rsidRPr="00942059" w14:paraId="120C2204" w14:textId="77777777" w:rsidTr="00944568">
        <w:trPr>
          <w:trHeight w:val="567"/>
        </w:trPr>
        <w:tc>
          <w:tcPr>
            <w:tcW w:w="5000" w:type="pct"/>
            <w:gridSpan w:val="4"/>
            <w:shd w:val="clear" w:color="auto" w:fill="auto"/>
            <w:vAlign w:val="center"/>
          </w:tcPr>
          <w:p w14:paraId="40964CC2" w14:textId="77777777" w:rsidR="003E02B6" w:rsidRPr="00942059" w:rsidRDefault="003E02B6" w:rsidP="00944568">
            <w:pPr>
              <w:rPr>
                <w:rFonts w:ascii="Titillium" w:hAnsi="Titillium"/>
                <w:b/>
                <w:bCs/>
              </w:rPr>
            </w:pPr>
            <w:r w:rsidRPr="00942059">
              <w:rPr>
                <w:rFonts w:ascii="Titillium" w:hAnsi="Titillium"/>
                <w:b/>
                <w:bCs/>
              </w:rPr>
              <w:t>Arredi per Ufficio Dirigente*</w:t>
            </w:r>
          </w:p>
          <w:p w14:paraId="610B8577" w14:textId="77777777" w:rsidR="003E02B6" w:rsidRPr="00942059" w:rsidRDefault="003E02B6" w:rsidP="00944568">
            <w:pPr>
              <w:rPr>
                <w:rFonts w:ascii="Titillium" w:hAnsi="Titillium"/>
                <w:b/>
                <w:bCs/>
                <w:i/>
                <w:iCs/>
                <w:sz w:val="16"/>
                <w:szCs w:val="16"/>
              </w:rPr>
            </w:pPr>
            <w:r w:rsidRPr="00942059">
              <w:rPr>
                <w:rFonts w:ascii="Titillium" w:hAnsi="Titillium"/>
                <w:b/>
                <w:bCs/>
                <w:i/>
                <w:iCs/>
                <w:sz w:val="16"/>
                <w:szCs w:val="16"/>
              </w:rPr>
              <w:t>*Tutte le forniture appartenenti a questa area dovranno essere coordinate in termini di materiali e finiture.</w:t>
            </w:r>
          </w:p>
        </w:tc>
      </w:tr>
      <w:tr w:rsidR="003E02B6" w:rsidRPr="00942059" w14:paraId="5B4F09DD" w14:textId="77777777" w:rsidTr="00944568">
        <w:trPr>
          <w:trHeight w:val="557"/>
        </w:trPr>
        <w:tc>
          <w:tcPr>
            <w:tcW w:w="641" w:type="pct"/>
            <w:shd w:val="clear" w:color="auto" w:fill="auto"/>
          </w:tcPr>
          <w:p w14:paraId="3F426B02" w14:textId="45CF1A77" w:rsidR="003E02B6" w:rsidRPr="00942059" w:rsidRDefault="003E02B6" w:rsidP="00944568">
            <w:pPr>
              <w:rPr>
                <w:rFonts w:ascii="Titillium" w:hAnsi="Titillium"/>
                <w:sz w:val="20"/>
                <w:szCs w:val="18"/>
              </w:rPr>
            </w:pPr>
            <w:r w:rsidRPr="00942059">
              <w:rPr>
                <w:rFonts w:ascii="Titillium" w:hAnsi="Titillium"/>
                <w:b/>
                <w:bCs/>
                <w:sz w:val="20"/>
                <w:szCs w:val="18"/>
              </w:rPr>
              <w:t>DIR 04-a</w:t>
            </w:r>
          </w:p>
        </w:tc>
        <w:tc>
          <w:tcPr>
            <w:tcW w:w="3314" w:type="pct"/>
            <w:shd w:val="clear" w:color="auto" w:fill="auto"/>
          </w:tcPr>
          <w:p w14:paraId="7210105A"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armadio alto per ufficio direzionale delle dimensioni di circa cm 90x42-47x180-210 (</w:t>
            </w:r>
            <w:proofErr w:type="spellStart"/>
            <w:r w:rsidRPr="00942059">
              <w:rPr>
                <w:rFonts w:ascii="Titillium" w:hAnsi="Titillium"/>
                <w:sz w:val="18"/>
                <w:szCs w:val="18"/>
              </w:rPr>
              <w:t>LxPxH</w:t>
            </w:r>
            <w:proofErr w:type="spellEnd"/>
            <w:r w:rsidRPr="00942059">
              <w:rPr>
                <w:rFonts w:ascii="Titillium" w:hAnsi="Titillium"/>
                <w:sz w:val="18"/>
                <w:szCs w:val="18"/>
              </w:rPr>
              <w:t xml:space="preserve">), con doppia anta battente. L’armadio deve </w:t>
            </w:r>
            <w:proofErr w:type="gramStart"/>
            <w:r w:rsidRPr="00942059">
              <w:rPr>
                <w:rFonts w:ascii="Titillium" w:hAnsi="Titillium"/>
                <w:sz w:val="18"/>
                <w:szCs w:val="18"/>
              </w:rPr>
              <w:t>presentare  due</w:t>
            </w:r>
            <w:proofErr w:type="gramEnd"/>
            <w:r w:rsidRPr="00942059">
              <w:rPr>
                <w:rFonts w:ascii="Titillium" w:hAnsi="Titillium"/>
                <w:sz w:val="18"/>
                <w:szCs w:val="18"/>
              </w:rPr>
              <w:t xml:space="preserve"> sezioni verticali, di cui una suddivisa in scomparti portadocumenti e una con asta appendiabiti.</w:t>
            </w:r>
          </w:p>
          <w:p w14:paraId="6D504AB9" w14:textId="77777777" w:rsidR="003E02B6" w:rsidRPr="00942059" w:rsidRDefault="003E02B6" w:rsidP="00944568">
            <w:pPr>
              <w:rPr>
                <w:rFonts w:ascii="Titillium" w:hAnsi="Titillium"/>
                <w:sz w:val="18"/>
                <w:szCs w:val="18"/>
              </w:rPr>
            </w:pPr>
            <w:r w:rsidRPr="00942059">
              <w:rPr>
                <w:rFonts w:ascii="Titillium" w:hAnsi="Titillium"/>
                <w:sz w:val="18"/>
                <w:szCs w:val="18"/>
              </w:rPr>
              <w:t xml:space="preserve">La struttura, le ante e i ripiani devono essere in pannelli in legno realizzati in truciolare ad alta densità (classe E1), bordati e con raggio di curvatura pari ad almeno mm 2, con rivestimento su ambo i lati in impiallacciatura in legno. In corrispondenza della base dell’armadio devono essere presenti almeno n.4 piedini regolabili in altezza. L’armadio deve essere dotato di chiusura con cilindro estraibile fornito di doppia chiave pieghevole antinfortunistica, di maniglie “a ponte” o “a gola cava” verticale, di cerniere con fissaggio rapido a camma regolabili con apertura ad almeno 110°. Le finiture sono da definire in relazione ad una rosa di colori proposta e devono essere coordinate alla scrivania direzionale DIR 01-a e al mobile di servizio DIR 03-a. Il prezzo unitario remunera altresì il trasporto, il tiro in alto, il montaggio, lo smaltimento imballaggi e ogni onere e magistero per fornire il prodotto installato a perfetta regola d’arte. </w:t>
            </w:r>
          </w:p>
        </w:tc>
        <w:tc>
          <w:tcPr>
            <w:tcW w:w="335" w:type="pct"/>
            <w:shd w:val="clear" w:color="auto" w:fill="auto"/>
            <w:vAlign w:val="bottom"/>
          </w:tcPr>
          <w:p w14:paraId="3C4F8921"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10" w:type="pct"/>
            <w:shd w:val="clear" w:color="auto" w:fill="auto"/>
            <w:vAlign w:val="bottom"/>
          </w:tcPr>
          <w:p w14:paraId="524C7C72"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1.649,24€</w:t>
            </w:r>
          </w:p>
        </w:tc>
      </w:tr>
      <w:tr w:rsidR="003E02B6" w:rsidRPr="00942059" w14:paraId="16B59C05" w14:textId="77777777" w:rsidTr="00944568">
        <w:trPr>
          <w:trHeight w:val="1134"/>
        </w:trPr>
        <w:tc>
          <w:tcPr>
            <w:tcW w:w="641" w:type="pct"/>
            <w:shd w:val="clear" w:color="auto" w:fill="auto"/>
          </w:tcPr>
          <w:p w14:paraId="023A4512" w14:textId="77777777" w:rsidR="003E02B6" w:rsidRPr="00942059" w:rsidRDefault="003E02B6" w:rsidP="00944568">
            <w:pPr>
              <w:rPr>
                <w:rFonts w:ascii="Titillium" w:hAnsi="Titillium"/>
                <w:b/>
                <w:bCs/>
                <w:sz w:val="20"/>
                <w:szCs w:val="18"/>
              </w:rPr>
            </w:pPr>
            <w:r w:rsidRPr="00942059">
              <w:rPr>
                <w:rFonts w:ascii="Titillium" w:hAnsi="Titillium"/>
                <w:b/>
                <w:bCs/>
                <w:sz w:val="20"/>
                <w:szCs w:val="18"/>
              </w:rPr>
              <w:t>DIR 04-b</w:t>
            </w:r>
          </w:p>
        </w:tc>
        <w:tc>
          <w:tcPr>
            <w:tcW w:w="3314" w:type="pct"/>
            <w:shd w:val="clear" w:color="auto" w:fill="auto"/>
          </w:tcPr>
          <w:p w14:paraId="10787897"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armadio alto per ufficio direzionale delle dimensioni di circa cm 90x42-47x180-210 (</w:t>
            </w:r>
            <w:proofErr w:type="spellStart"/>
            <w:r w:rsidRPr="00942059">
              <w:rPr>
                <w:rFonts w:ascii="Titillium" w:hAnsi="Titillium"/>
                <w:sz w:val="18"/>
                <w:szCs w:val="18"/>
              </w:rPr>
              <w:t>LxPxH</w:t>
            </w:r>
            <w:proofErr w:type="spellEnd"/>
            <w:r w:rsidRPr="00942059">
              <w:rPr>
                <w:rFonts w:ascii="Titillium" w:hAnsi="Titillium"/>
                <w:sz w:val="18"/>
                <w:szCs w:val="18"/>
              </w:rPr>
              <w:t>), con doppia anta battente. L’armadio deve presentare due sezioni verticali, di cui una suddivisa in scomparti portadocumenti e una con asta appendiabiti.</w:t>
            </w:r>
          </w:p>
          <w:p w14:paraId="78B70369" w14:textId="77777777" w:rsidR="003E02B6" w:rsidRPr="00942059" w:rsidRDefault="003E02B6" w:rsidP="00944568">
            <w:pPr>
              <w:rPr>
                <w:rFonts w:ascii="Titillium" w:hAnsi="Titillium"/>
                <w:sz w:val="18"/>
                <w:szCs w:val="18"/>
              </w:rPr>
            </w:pPr>
            <w:r w:rsidRPr="00942059">
              <w:rPr>
                <w:rFonts w:ascii="Titillium" w:hAnsi="Titillium"/>
                <w:sz w:val="18"/>
                <w:szCs w:val="18"/>
              </w:rPr>
              <w:t>La struttura, le ante e i ripiani devono essere in pannelli in legno realizzati in truciolare ad alta densità (classe E1), bordati e con raggio di curvatura pari ad almeno mm 2, con rivestimento su ambo i lati in nobilitato melaminico. In corrispondenza della base dell’armadio devono essere presenti almeno n.4 piedini regolabili in altezza. L’armadio deve essere dotato di chiusura con cilindro estraibile fornito di doppia chiave pieghevole antinfortunistica, di maniglie “a ponte” o “a gola cava” verticale, di cerniere con fissaggio rapido a camma regolabili con apertura ad almeno 110°. Le finiture sono da definire in relazione ad una rosa di colori proposta e devono essere coordinate alla scrivania direzionale DIR 01-b e al mobile di servizio DIR 03-b. Il prezzo unitario remunera altresì il trasporto, il tiro in alto, il montaggio, lo smaltimento imballaggi e ogni onere e magistero per fornire il prodotto installato a perfetta regola d’arte.</w:t>
            </w:r>
          </w:p>
        </w:tc>
        <w:tc>
          <w:tcPr>
            <w:tcW w:w="335" w:type="pct"/>
            <w:shd w:val="clear" w:color="auto" w:fill="auto"/>
            <w:vAlign w:val="bottom"/>
          </w:tcPr>
          <w:p w14:paraId="200AB9B9"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10" w:type="pct"/>
            <w:shd w:val="clear" w:color="auto" w:fill="auto"/>
            <w:vAlign w:val="bottom"/>
          </w:tcPr>
          <w:p w14:paraId="5683BB4F"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839,59 €</w:t>
            </w:r>
          </w:p>
        </w:tc>
      </w:tr>
    </w:tbl>
    <w:p w14:paraId="502F28E2" w14:textId="34BC5DEA" w:rsidR="003E02B6" w:rsidRPr="00942059" w:rsidRDefault="003E02B6" w:rsidP="003E02B6">
      <w:pPr>
        <w:rPr>
          <w:rFonts w:ascii="Titillium" w:hAnsi="Titillium"/>
        </w:rPr>
      </w:pPr>
    </w:p>
    <w:p w14:paraId="396BB39F" w14:textId="77777777" w:rsidR="003E02B6" w:rsidRPr="00942059" w:rsidRDefault="003E02B6">
      <w:pPr>
        <w:spacing w:line="240" w:lineRule="auto"/>
        <w:jc w:val="left"/>
        <w:rPr>
          <w:rFonts w:ascii="Titillium" w:hAnsi="Titillium"/>
        </w:rPr>
      </w:pPr>
      <w:r w:rsidRPr="00942059">
        <w:rPr>
          <w:rFonts w:ascii="Titillium" w:hAnsi="Titillium"/>
        </w:rPr>
        <w:br w:type="page"/>
      </w:r>
    </w:p>
    <w:tbl>
      <w:tblPr>
        <w:tblStyle w:val="Grigliatabella"/>
        <w:tblW w:w="5000" w:type="pct"/>
        <w:tblLook w:val="04A0" w:firstRow="1" w:lastRow="0" w:firstColumn="1" w:lastColumn="0" w:noHBand="0" w:noVBand="1"/>
      </w:tblPr>
      <w:tblGrid>
        <w:gridCol w:w="1830"/>
        <w:gridCol w:w="9463"/>
        <w:gridCol w:w="957"/>
        <w:gridCol w:w="2027"/>
      </w:tblGrid>
      <w:tr w:rsidR="003E02B6" w:rsidRPr="00942059" w14:paraId="37127577" w14:textId="77777777" w:rsidTr="00944568">
        <w:trPr>
          <w:trHeight w:val="567"/>
        </w:trPr>
        <w:tc>
          <w:tcPr>
            <w:tcW w:w="641" w:type="pct"/>
            <w:shd w:val="clear" w:color="auto" w:fill="E7E6E6" w:themeFill="background2"/>
            <w:vAlign w:val="center"/>
          </w:tcPr>
          <w:p w14:paraId="3C40415D" w14:textId="77777777" w:rsidR="003E02B6" w:rsidRPr="00942059" w:rsidRDefault="003E02B6" w:rsidP="00944568">
            <w:pPr>
              <w:jc w:val="center"/>
              <w:rPr>
                <w:rFonts w:ascii="Titillium" w:hAnsi="Titillium"/>
                <w:b/>
                <w:bCs/>
                <w:sz w:val="20"/>
                <w:szCs w:val="18"/>
              </w:rPr>
            </w:pPr>
            <w:bookmarkStart w:id="27" w:name="_Hlk190358875"/>
            <w:r w:rsidRPr="00942059">
              <w:rPr>
                <w:rFonts w:ascii="Titillium" w:hAnsi="Titillium"/>
                <w:b/>
                <w:bCs/>
                <w:sz w:val="20"/>
                <w:szCs w:val="18"/>
              </w:rPr>
              <w:lastRenderedPageBreak/>
              <w:t>Codice</w:t>
            </w:r>
          </w:p>
        </w:tc>
        <w:tc>
          <w:tcPr>
            <w:tcW w:w="3314" w:type="pct"/>
            <w:shd w:val="clear" w:color="auto" w:fill="E7E6E6" w:themeFill="background2"/>
            <w:vAlign w:val="center"/>
          </w:tcPr>
          <w:p w14:paraId="08186FC5" w14:textId="777777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t>DESCRIZIONE COMPLETA DEGLI ARREDI</w:t>
            </w:r>
          </w:p>
        </w:tc>
        <w:tc>
          <w:tcPr>
            <w:tcW w:w="335" w:type="pct"/>
            <w:shd w:val="clear" w:color="auto" w:fill="E7E6E6" w:themeFill="background2"/>
            <w:vAlign w:val="center"/>
          </w:tcPr>
          <w:p w14:paraId="2C848A05" w14:textId="777777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t>U.M.</w:t>
            </w:r>
          </w:p>
        </w:tc>
        <w:tc>
          <w:tcPr>
            <w:tcW w:w="710" w:type="pct"/>
            <w:shd w:val="clear" w:color="auto" w:fill="E7E6E6" w:themeFill="background2"/>
            <w:vAlign w:val="center"/>
          </w:tcPr>
          <w:p w14:paraId="73AFB728" w14:textId="77777777" w:rsidR="003E02B6" w:rsidRPr="00942059" w:rsidRDefault="003E02B6" w:rsidP="00F65CA5">
            <w:pPr>
              <w:jc w:val="center"/>
              <w:rPr>
                <w:rFonts w:ascii="Titillium" w:hAnsi="Titillium"/>
                <w:b/>
                <w:bCs/>
                <w:sz w:val="20"/>
                <w:szCs w:val="18"/>
              </w:rPr>
            </w:pPr>
            <w:r w:rsidRPr="00942059">
              <w:rPr>
                <w:rFonts w:ascii="Titillium" w:hAnsi="Titillium"/>
                <w:b/>
                <w:bCs/>
                <w:sz w:val="20"/>
                <w:szCs w:val="18"/>
              </w:rPr>
              <w:t>Prezzo Unitario (€)</w:t>
            </w:r>
          </w:p>
        </w:tc>
      </w:tr>
      <w:tr w:rsidR="003E02B6" w:rsidRPr="00942059" w14:paraId="1F27747F" w14:textId="77777777" w:rsidTr="00944568">
        <w:trPr>
          <w:trHeight w:val="567"/>
        </w:trPr>
        <w:tc>
          <w:tcPr>
            <w:tcW w:w="5000" w:type="pct"/>
            <w:gridSpan w:val="4"/>
            <w:shd w:val="clear" w:color="auto" w:fill="auto"/>
            <w:vAlign w:val="center"/>
          </w:tcPr>
          <w:p w14:paraId="5A311A7D" w14:textId="77777777" w:rsidR="003E02B6" w:rsidRPr="00942059" w:rsidRDefault="003E02B6" w:rsidP="00944568">
            <w:pPr>
              <w:rPr>
                <w:rFonts w:ascii="Titillium" w:hAnsi="Titillium"/>
                <w:b/>
                <w:bCs/>
              </w:rPr>
            </w:pPr>
            <w:r w:rsidRPr="00942059">
              <w:rPr>
                <w:rFonts w:ascii="Titillium" w:hAnsi="Titillium"/>
                <w:b/>
                <w:bCs/>
              </w:rPr>
              <w:t>Arredi per Ufficio Responsabile*</w:t>
            </w:r>
          </w:p>
          <w:p w14:paraId="28D21975" w14:textId="77777777" w:rsidR="003E02B6" w:rsidRPr="00942059" w:rsidRDefault="003E02B6" w:rsidP="00944568">
            <w:pPr>
              <w:rPr>
                <w:rFonts w:ascii="Titillium" w:hAnsi="Titillium"/>
                <w:b/>
                <w:bCs/>
              </w:rPr>
            </w:pPr>
            <w:r w:rsidRPr="00942059">
              <w:rPr>
                <w:rFonts w:ascii="Titillium" w:hAnsi="Titillium"/>
                <w:b/>
                <w:bCs/>
                <w:sz w:val="16"/>
                <w:szCs w:val="16"/>
              </w:rPr>
              <w:t>*</w:t>
            </w:r>
            <w:r w:rsidRPr="00942059">
              <w:rPr>
                <w:rFonts w:ascii="Titillium" w:hAnsi="Titillium"/>
                <w:b/>
                <w:bCs/>
                <w:i/>
                <w:iCs/>
                <w:sz w:val="16"/>
                <w:szCs w:val="16"/>
              </w:rPr>
              <w:t>Tutte le forniture appartenenti a questa area dovranno essere coordinate in termini di materiali e finiture.</w:t>
            </w:r>
          </w:p>
        </w:tc>
      </w:tr>
      <w:tr w:rsidR="003E02B6" w:rsidRPr="00942059" w14:paraId="672C2307" w14:textId="77777777" w:rsidTr="00944568">
        <w:trPr>
          <w:trHeight w:val="839"/>
        </w:trPr>
        <w:tc>
          <w:tcPr>
            <w:tcW w:w="641" w:type="pct"/>
          </w:tcPr>
          <w:p w14:paraId="47AD018E" w14:textId="77777777" w:rsidR="003E02B6" w:rsidRPr="00942059" w:rsidRDefault="003E02B6" w:rsidP="00944568">
            <w:pPr>
              <w:rPr>
                <w:rFonts w:ascii="Titillium" w:hAnsi="Titillium"/>
                <w:sz w:val="20"/>
                <w:szCs w:val="18"/>
              </w:rPr>
            </w:pPr>
            <w:r w:rsidRPr="00942059">
              <w:rPr>
                <w:rFonts w:ascii="Titillium" w:hAnsi="Titillium"/>
                <w:b/>
                <w:bCs/>
                <w:sz w:val="20"/>
                <w:szCs w:val="18"/>
              </w:rPr>
              <w:t>RES 01</w:t>
            </w:r>
          </w:p>
        </w:tc>
        <w:tc>
          <w:tcPr>
            <w:tcW w:w="3314" w:type="pct"/>
          </w:tcPr>
          <w:p w14:paraId="5321811F"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una scrivania direzionale rettangolare delle dimensioni di circa cm 140-160 x 80 x 70-75 (</w:t>
            </w:r>
            <w:proofErr w:type="spellStart"/>
            <w:r w:rsidRPr="00942059">
              <w:rPr>
                <w:rFonts w:ascii="Titillium" w:hAnsi="Titillium"/>
                <w:sz w:val="18"/>
                <w:szCs w:val="18"/>
              </w:rPr>
              <w:t>LxPxH</w:t>
            </w:r>
            <w:proofErr w:type="spellEnd"/>
            <w:r w:rsidRPr="00942059">
              <w:rPr>
                <w:rFonts w:ascii="Titillium" w:hAnsi="Titillium"/>
                <w:sz w:val="18"/>
                <w:szCs w:val="18"/>
              </w:rPr>
              <w:t xml:space="preserve">) avente piano di lavoro in legno realizzato in truciolare (classe E1), spessore a partire da mm 25, con rivestimento su ambo i lati in nobilitato melaminico, antiriflesso e antigraffio. I piani di lavoro sono arrotondati e bordati con uno spessore a partire da mm 2. La struttura della scrivania deve soddisfare i requisiti di stabilità, resistenza, durabilità ed eleganza estetica; la struttura può essere realizzata in acciaio cromato, in alluminio lucido, in alluminio verniciato a polveri epossidiche, in vetro temperato, in legno, etc. La scrivania deve essere provvista di apposita canalizzazione dei cavi orizzontale e verticale (a titolo esemplificativo: canalina orizzontale sottostante il piano di lavoro, canalina magnetica verticale collegata alla struttura della scrivania per il passaggio dei cavi, o vertebra, etc.) e di uno sportello passacavi in alluminio opaco dotato di spazzola sul piano di lavoro (ad es. </w:t>
            </w:r>
            <w:r w:rsidRPr="00942059">
              <w:rPr>
                <w:rFonts w:ascii="Titillium" w:hAnsi="Titillium"/>
                <w:i/>
                <w:iCs/>
                <w:sz w:val="18"/>
                <w:szCs w:val="18"/>
              </w:rPr>
              <w:t>top access</w:t>
            </w:r>
            <w:r w:rsidRPr="00942059">
              <w:rPr>
                <w:rFonts w:ascii="Titillium" w:hAnsi="Titillium"/>
                <w:sz w:val="18"/>
                <w:szCs w:val="18"/>
              </w:rPr>
              <w:t>). Le finiture sono da definire in relazione ad una rosa di colori proposta. Il prezzo unitario remunera altresì il trasporto, il tiro in alto, il montaggio, lo smaltimento imballaggi e ogni onere e magistero per fornire il prodotto installato a perfetta regola d’arte.</w:t>
            </w:r>
          </w:p>
        </w:tc>
        <w:tc>
          <w:tcPr>
            <w:tcW w:w="335" w:type="pct"/>
            <w:vAlign w:val="bottom"/>
          </w:tcPr>
          <w:p w14:paraId="4763689D"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10" w:type="pct"/>
            <w:vAlign w:val="bottom"/>
          </w:tcPr>
          <w:p w14:paraId="4BB12D85"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462,11 €</w:t>
            </w:r>
          </w:p>
        </w:tc>
      </w:tr>
      <w:tr w:rsidR="003E02B6" w:rsidRPr="00942059" w14:paraId="4CBFCF87" w14:textId="77777777" w:rsidTr="00944568">
        <w:trPr>
          <w:trHeight w:val="557"/>
        </w:trPr>
        <w:tc>
          <w:tcPr>
            <w:tcW w:w="641" w:type="pct"/>
          </w:tcPr>
          <w:p w14:paraId="2348A9F9" w14:textId="77777777" w:rsidR="003E02B6" w:rsidRPr="00942059" w:rsidRDefault="003E02B6" w:rsidP="00944568">
            <w:pPr>
              <w:rPr>
                <w:rFonts w:ascii="Titillium" w:hAnsi="Titillium"/>
                <w:sz w:val="20"/>
                <w:szCs w:val="18"/>
              </w:rPr>
            </w:pPr>
            <w:r w:rsidRPr="00942059">
              <w:rPr>
                <w:rFonts w:ascii="Titillium" w:hAnsi="Titillium"/>
                <w:b/>
                <w:bCs/>
                <w:sz w:val="20"/>
                <w:szCs w:val="18"/>
              </w:rPr>
              <w:t>RES 02</w:t>
            </w:r>
          </w:p>
        </w:tc>
        <w:tc>
          <w:tcPr>
            <w:tcW w:w="3314" w:type="pct"/>
          </w:tcPr>
          <w:p w14:paraId="35AD748C"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mobile di servizio per ufficio direzionale delle dimensioni di circa cm 120-140x45-55x55-65 (</w:t>
            </w:r>
            <w:proofErr w:type="spellStart"/>
            <w:r w:rsidRPr="00942059">
              <w:rPr>
                <w:rFonts w:ascii="Titillium" w:hAnsi="Titillium"/>
                <w:sz w:val="18"/>
                <w:szCs w:val="18"/>
              </w:rPr>
              <w:t>LxPxH</w:t>
            </w:r>
            <w:proofErr w:type="spellEnd"/>
            <w:r w:rsidRPr="00942059">
              <w:rPr>
                <w:rFonts w:ascii="Titillium" w:hAnsi="Titillium"/>
                <w:sz w:val="18"/>
                <w:szCs w:val="18"/>
              </w:rPr>
              <w:t xml:space="preserve">), su ruote pivotanti. Il mobile deve essere caratterizzato da n.2 moduli, di cui uno a cassetti e uno ad ante battenti. La struttura, le ante, i ripiani e i cassetti devono essere in pannelli in legno realizzati in truciolare ad alta densità (classe E1), bordati e con raggio di curvatura pari ad almeno mm 2, con rivestimento su ambo i lati in nobilitato melaminico, completo di </w:t>
            </w:r>
            <w:r w:rsidRPr="00942059">
              <w:rPr>
                <w:rFonts w:ascii="Titillium" w:hAnsi="Titillium"/>
                <w:i/>
                <w:iCs/>
                <w:sz w:val="18"/>
                <w:szCs w:val="18"/>
              </w:rPr>
              <w:t>top</w:t>
            </w:r>
            <w:r w:rsidRPr="00942059">
              <w:rPr>
                <w:rFonts w:ascii="Titillium" w:hAnsi="Titillium"/>
                <w:sz w:val="18"/>
                <w:szCs w:val="18"/>
              </w:rPr>
              <w:t xml:space="preserve"> a copertura dei due moduli. </w:t>
            </w:r>
          </w:p>
          <w:p w14:paraId="5A5CF673" w14:textId="77777777" w:rsidR="003E02B6" w:rsidRPr="00942059" w:rsidRDefault="003E02B6" w:rsidP="00944568">
            <w:pPr>
              <w:rPr>
                <w:rFonts w:ascii="Titillium" w:hAnsi="Titillium"/>
                <w:sz w:val="18"/>
                <w:szCs w:val="18"/>
              </w:rPr>
            </w:pPr>
            <w:r w:rsidRPr="00942059">
              <w:rPr>
                <w:rFonts w:ascii="Titillium" w:hAnsi="Titillium"/>
                <w:sz w:val="18"/>
                <w:szCs w:val="18"/>
              </w:rPr>
              <w:t>Il primo modulo è costituito da n.3-4 cassetti, dotati di chiusura centralizzata a cilindro estraibile fornito di doppia chiave pieghevole antinfortunistica, detto modulo deve presentare guide metalliche di tipo telescopico dotate di cuscinetti a sfera ad estrazione parziale e dispositivo di arresto a fine corsa, nonché deve essere dotato di</w:t>
            </w:r>
            <w:r w:rsidRPr="00942059" w:rsidDel="00CA6B4E">
              <w:rPr>
                <w:rFonts w:ascii="Titillium" w:hAnsi="Titillium"/>
                <w:sz w:val="18"/>
                <w:szCs w:val="18"/>
              </w:rPr>
              <w:t xml:space="preserve"> </w:t>
            </w:r>
            <w:r w:rsidRPr="00942059">
              <w:rPr>
                <w:rFonts w:ascii="Titillium" w:hAnsi="Titillium"/>
                <w:sz w:val="18"/>
                <w:szCs w:val="18"/>
              </w:rPr>
              <w:t>maniglie “a ponte” o “a gola cava” orizzontale.</w:t>
            </w:r>
          </w:p>
          <w:p w14:paraId="3B678094" w14:textId="77777777" w:rsidR="003E02B6" w:rsidRPr="00942059" w:rsidRDefault="003E02B6" w:rsidP="00944568">
            <w:pPr>
              <w:rPr>
                <w:rFonts w:ascii="Titillium" w:hAnsi="Titillium"/>
                <w:sz w:val="18"/>
                <w:szCs w:val="18"/>
              </w:rPr>
            </w:pPr>
            <w:r w:rsidRPr="00942059">
              <w:rPr>
                <w:rFonts w:ascii="Titillium" w:hAnsi="Titillium"/>
                <w:sz w:val="18"/>
                <w:szCs w:val="18"/>
              </w:rPr>
              <w:t>Il secondo modulo è costituito da n.1-2 ante battenti, dotate di chiusura con cilindro estraibile fornito di doppia chiave pieghevole antinfortunistica, di maniglie “a ponte” o “a gola cava” verticale, di cerniere con fissaggio rapido a camma regolabili con apertura ad almeno 110°. Il modulo è completo di n.1 ripiano in legno truciolare ad alta densità (classe E1).</w:t>
            </w:r>
          </w:p>
          <w:p w14:paraId="0CBC8FB3" w14:textId="77777777" w:rsidR="003E02B6" w:rsidRPr="00942059" w:rsidRDefault="003E02B6" w:rsidP="00944568">
            <w:pPr>
              <w:rPr>
                <w:rFonts w:ascii="Titillium" w:hAnsi="Titillium"/>
                <w:sz w:val="18"/>
                <w:szCs w:val="18"/>
              </w:rPr>
            </w:pPr>
            <w:r w:rsidRPr="00942059">
              <w:rPr>
                <w:rFonts w:ascii="Titillium" w:hAnsi="Titillium"/>
                <w:sz w:val="18"/>
                <w:szCs w:val="18"/>
              </w:rPr>
              <w:t>Le finiture sono da definire in relazione ad una rosa di colori proposta e devono essere coordinate alla scrivania direzionale RES 01. Il prezzo unitario remunera altresì il trasporto, il tiro in alto, il montaggio, lo smaltimento imballaggi e ogni onere e magistero per fornire il prodotto installato a perfetta regola d’arte.</w:t>
            </w:r>
          </w:p>
        </w:tc>
        <w:tc>
          <w:tcPr>
            <w:tcW w:w="335" w:type="pct"/>
            <w:vAlign w:val="bottom"/>
          </w:tcPr>
          <w:p w14:paraId="38E18904"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10" w:type="pct"/>
            <w:vAlign w:val="bottom"/>
          </w:tcPr>
          <w:p w14:paraId="3F5220C4"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550,76 €</w:t>
            </w:r>
          </w:p>
        </w:tc>
      </w:tr>
    </w:tbl>
    <w:p w14:paraId="6119A5AB" w14:textId="77777777" w:rsidR="003E02B6" w:rsidRPr="00942059" w:rsidRDefault="003E02B6">
      <w:r w:rsidRPr="00942059">
        <w:br w:type="page"/>
      </w:r>
    </w:p>
    <w:tbl>
      <w:tblPr>
        <w:tblStyle w:val="Grigliatabella"/>
        <w:tblW w:w="5000" w:type="pct"/>
        <w:tblLook w:val="04A0" w:firstRow="1" w:lastRow="0" w:firstColumn="1" w:lastColumn="0" w:noHBand="0" w:noVBand="1"/>
      </w:tblPr>
      <w:tblGrid>
        <w:gridCol w:w="1830"/>
        <w:gridCol w:w="9463"/>
        <w:gridCol w:w="957"/>
        <w:gridCol w:w="2027"/>
      </w:tblGrid>
      <w:tr w:rsidR="003E02B6" w:rsidRPr="00942059" w14:paraId="0B2B05E0" w14:textId="77777777" w:rsidTr="00944568">
        <w:trPr>
          <w:trHeight w:val="567"/>
        </w:trPr>
        <w:tc>
          <w:tcPr>
            <w:tcW w:w="641" w:type="pct"/>
            <w:shd w:val="clear" w:color="auto" w:fill="E7E6E6" w:themeFill="background2"/>
            <w:vAlign w:val="center"/>
          </w:tcPr>
          <w:p w14:paraId="718E7726" w14:textId="777777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lastRenderedPageBreak/>
              <w:t>Codice</w:t>
            </w:r>
          </w:p>
        </w:tc>
        <w:tc>
          <w:tcPr>
            <w:tcW w:w="3314" w:type="pct"/>
            <w:shd w:val="clear" w:color="auto" w:fill="E7E6E6" w:themeFill="background2"/>
            <w:vAlign w:val="center"/>
          </w:tcPr>
          <w:p w14:paraId="017DEC30" w14:textId="777777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t>DESCRIZIONE COMPLETA DEGLI ARREDI</w:t>
            </w:r>
          </w:p>
        </w:tc>
        <w:tc>
          <w:tcPr>
            <w:tcW w:w="335" w:type="pct"/>
            <w:shd w:val="clear" w:color="auto" w:fill="E7E6E6" w:themeFill="background2"/>
            <w:vAlign w:val="center"/>
          </w:tcPr>
          <w:p w14:paraId="56DA98D2" w14:textId="777777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t>U.M.</w:t>
            </w:r>
          </w:p>
        </w:tc>
        <w:tc>
          <w:tcPr>
            <w:tcW w:w="710" w:type="pct"/>
            <w:shd w:val="clear" w:color="auto" w:fill="E7E6E6" w:themeFill="background2"/>
            <w:vAlign w:val="center"/>
          </w:tcPr>
          <w:p w14:paraId="1B2590A7" w14:textId="77777777" w:rsidR="003E02B6" w:rsidRPr="00942059" w:rsidRDefault="003E02B6" w:rsidP="00F65CA5">
            <w:pPr>
              <w:jc w:val="center"/>
              <w:rPr>
                <w:rFonts w:ascii="Titillium" w:hAnsi="Titillium"/>
                <w:b/>
                <w:bCs/>
                <w:sz w:val="20"/>
                <w:szCs w:val="18"/>
              </w:rPr>
            </w:pPr>
            <w:r w:rsidRPr="00942059">
              <w:rPr>
                <w:rFonts w:ascii="Titillium" w:hAnsi="Titillium"/>
                <w:b/>
                <w:bCs/>
                <w:sz w:val="20"/>
                <w:szCs w:val="18"/>
              </w:rPr>
              <w:t>Prezzo Unitario (€)</w:t>
            </w:r>
          </w:p>
        </w:tc>
      </w:tr>
      <w:tr w:rsidR="003E02B6" w:rsidRPr="00942059" w14:paraId="0A727AC5" w14:textId="77777777" w:rsidTr="00944568">
        <w:trPr>
          <w:trHeight w:val="567"/>
        </w:trPr>
        <w:tc>
          <w:tcPr>
            <w:tcW w:w="5000" w:type="pct"/>
            <w:gridSpan w:val="4"/>
            <w:shd w:val="clear" w:color="auto" w:fill="auto"/>
            <w:vAlign w:val="center"/>
          </w:tcPr>
          <w:p w14:paraId="0C8D267D" w14:textId="77777777" w:rsidR="003E02B6" w:rsidRPr="00942059" w:rsidRDefault="003E02B6" w:rsidP="00944568">
            <w:pPr>
              <w:rPr>
                <w:rFonts w:ascii="Titillium" w:hAnsi="Titillium"/>
                <w:b/>
                <w:bCs/>
              </w:rPr>
            </w:pPr>
            <w:r w:rsidRPr="00942059">
              <w:rPr>
                <w:rFonts w:ascii="Titillium" w:hAnsi="Titillium"/>
                <w:b/>
                <w:bCs/>
              </w:rPr>
              <w:t>Arredi per Ufficio Responsabile*</w:t>
            </w:r>
          </w:p>
          <w:p w14:paraId="1E0A4129" w14:textId="77777777" w:rsidR="003E02B6" w:rsidRPr="00942059" w:rsidRDefault="003E02B6" w:rsidP="00944568">
            <w:pPr>
              <w:rPr>
                <w:rFonts w:ascii="Titillium" w:hAnsi="Titillium"/>
                <w:b/>
                <w:bCs/>
              </w:rPr>
            </w:pPr>
            <w:r w:rsidRPr="00942059">
              <w:rPr>
                <w:rFonts w:ascii="Titillium" w:hAnsi="Titillium"/>
                <w:b/>
                <w:bCs/>
                <w:sz w:val="16"/>
                <w:szCs w:val="16"/>
              </w:rPr>
              <w:t>*</w:t>
            </w:r>
            <w:r w:rsidRPr="00942059">
              <w:rPr>
                <w:rFonts w:ascii="Titillium" w:hAnsi="Titillium"/>
                <w:b/>
                <w:bCs/>
                <w:i/>
                <w:iCs/>
                <w:sz w:val="16"/>
                <w:szCs w:val="16"/>
              </w:rPr>
              <w:t>Tutte le forniture appartenenti a questa area dovranno essere coordinate in termini di materiali e finiture.</w:t>
            </w:r>
          </w:p>
        </w:tc>
      </w:tr>
      <w:tr w:rsidR="003E02B6" w:rsidRPr="00942059" w14:paraId="08F236DB" w14:textId="77777777" w:rsidTr="00944568">
        <w:trPr>
          <w:trHeight w:val="414"/>
        </w:trPr>
        <w:tc>
          <w:tcPr>
            <w:tcW w:w="641" w:type="pct"/>
          </w:tcPr>
          <w:p w14:paraId="2C38B57F" w14:textId="77777777" w:rsidR="003E02B6" w:rsidRPr="00942059" w:rsidRDefault="003E02B6" w:rsidP="00944568">
            <w:pPr>
              <w:rPr>
                <w:rFonts w:ascii="Titillium" w:hAnsi="Titillium"/>
                <w:b/>
                <w:bCs/>
                <w:sz w:val="20"/>
                <w:szCs w:val="20"/>
              </w:rPr>
            </w:pPr>
            <w:r w:rsidRPr="00942059">
              <w:rPr>
                <w:rFonts w:ascii="Titillium" w:hAnsi="Titillium"/>
                <w:b/>
                <w:bCs/>
                <w:sz w:val="20"/>
                <w:szCs w:val="20"/>
              </w:rPr>
              <w:t>RES 03</w:t>
            </w:r>
          </w:p>
          <w:p w14:paraId="75893D17" w14:textId="75FF602D" w:rsidR="009C48FE" w:rsidRPr="00942059" w:rsidRDefault="009C48FE" w:rsidP="009C48FE">
            <w:pPr>
              <w:jc w:val="center"/>
              <w:rPr>
                <w:rFonts w:ascii="Titillium" w:hAnsi="Titillium"/>
              </w:rPr>
            </w:pPr>
          </w:p>
        </w:tc>
        <w:tc>
          <w:tcPr>
            <w:tcW w:w="3314" w:type="pct"/>
          </w:tcPr>
          <w:p w14:paraId="2CF98D66" w14:textId="77777777" w:rsidR="003E02B6" w:rsidRPr="00942059" w:rsidRDefault="003E02B6" w:rsidP="00944568">
            <w:pPr>
              <w:rPr>
                <w:rFonts w:ascii="Titillium" w:hAnsi="Titillium"/>
                <w:sz w:val="18"/>
                <w:szCs w:val="18"/>
              </w:rPr>
            </w:pPr>
            <w:r w:rsidRPr="00942059">
              <w:rPr>
                <w:rFonts w:ascii="Titillium" w:hAnsi="Titillium"/>
                <w:sz w:val="18"/>
                <w:szCs w:val="18"/>
              </w:rPr>
              <w:t xml:space="preserve">Fornitura e posa in opera di armadio alto per ufficio direzionale delle dimensioni di circa </w:t>
            </w:r>
            <w:proofErr w:type="gramStart"/>
            <w:r w:rsidRPr="00942059">
              <w:rPr>
                <w:rFonts w:ascii="Titillium" w:hAnsi="Titillium"/>
                <w:sz w:val="18"/>
                <w:szCs w:val="18"/>
              </w:rPr>
              <w:t>cm  90</w:t>
            </w:r>
            <w:proofErr w:type="gramEnd"/>
            <w:r w:rsidRPr="00942059">
              <w:rPr>
                <w:rFonts w:ascii="Titillium" w:hAnsi="Titillium"/>
                <w:sz w:val="18"/>
                <w:szCs w:val="18"/>
              </w:rPr>
              <w:t>x42-47x180-210 (</w:t>
            </w:r>
            <w:proofErr w:type="spellStart"/>
            <w:r w:rsidRPr="00942059">
              <w:rPr>
                <w:rFonts w:ascii="Titillium" w:hAnsi="Titillium"/>
                <w:sz w:val="18"/>
                <w:szCs w:val="18"/>
              </w:rPr>
              <w:t>LxPxH</w:t>
            </w:r>
            <w:proofErr w:type="spellEnd"/>
            <w:r w:rsidRPr="00942059">
              <w:rPr>
                <w:rFonts w:ascii="Titillium" w:hAnsi="Titillium"/>
                <w:sz w:val="18"/>
                <w:szCs w:val="18"/>
              </w:rPr>
              <w:t>), con doppia anta battente L’armadio deve presentare due sezioni verticali, di cui una suddivisa in scomparti portadocumenti e una con asta appendiabiti.</w:t>
            </w:r>
          </w:p>
          <w:p w14:paraId="7CB24736" w14:textId="77777777" w:rsidR="003E02B6" w:rsidRPr="00942059" w:rsidRDefault="003E02B6" w:rsidP="00944568">
            <w:pPr>
              <w:rPr>
                <w:rFonts w:ascii="Titillium" w:hAnsi="Titillium"/>
                <w:sz w:val="18"/>
                <w:szCs w:val="18"/>
              </w:rPr>
            </w:pPr>
            <w:r w:rsidRPr="00942059">
              <w:rPr>
                <w:rFonts w:ascii="Titillium" w:hAnsi="Titillium"/>
                <w:sz w:val="18"/>
                <w:szCs w:val="18"/>
              </w:rPr>
              <w:t>La struttura, le ante e i ripiani devono essere in pannelli in legno realizzati in truciolare ad alta densità (classe E1), bordati e con raggio di curvatura pari ad almeno mm 2, con rivestimento su ambo i lati in nobilitato melaminico. In corrispondenza della base dell’armadio devono essere presenti almeno n.4 piedini regolabili in altezza. L’armadio deve essere dotato di chiusura con cilindro estraibile fornito di doppia chiave pieghevole antinfortunistica, di maniglie “a ponte” o “a gola cava” verticale, di cerniere con fissaggio rapido a camma regolabili con apertura ad almeno 110°. Le finiture sono da definire in relazione ad una rosa di colori proposta e devono essere coordinate alla scrivania direzionale RES 01 e al mobile di servizio RES 02. Il prezzo unitario remunera altresì il trasporto, il tiro in alto, il montaggio, lo smaltimento imballaggi e ogni onere e magistero per fornire il prodotto installato a perfetta regola d’arte.</w:t>
            </w:r>
          </w:p>
        </w:tc>
        <w:tc>
          <w:tcPr>
            <w:tcW w:w="335" w:type="pct"/>
            <w:vAlign w:val="bottom"/>
          </w:tcPr>
          <w:p w14:paraId="5E62D58E"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10" w:type="pct"/>
            <w:vAlign w:val="bottom"/>
          </w:tcPr>
          <w:p w14:paraId="10A79B01"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658,19 €</w:t>
            </w:r>
          </w:p>
        </w:tc>
      </w:tr>
      <w:bookmarkEnd w:id="27"/>
    </w:tbl>
    <w:p w14:paraId="4F2F1998" w14:textId="77777777" w:rsidR="003E02B6" w:rsidRPr="00942059" w:rsidRDefault="003E02B6" w:rsidP="003E02B6">
      <w:pPr>
        <w:rPr>
          <w:rFonts w:ascii="Titillium" w:hAnsi="Titillium"/>
        </w:rPr>
      </w:pPr>
    </w:p>
    <w:p w14:paraId="6669F4D5" w14:textId="77777777" w:rsidR="003E02B6" w:rsidRPr="00942059" w:rsidRDefault="003E02B6" w:rsidP="003E02B6">
      <w:pPr>
        <w:rPr>
          <w:rFonts w:ascii="Titillium" w:hAnsi="Titillium"/>
        </w:rPr>
      </w:pPr>
    </w:p>
    <w:tbl>
      <w:tblPr>
        <w:tblStyle w:val="Grigliatabella"/>
        <w:tblW w:w="5000" w:type="pct"/>
        <w:tblLook w:val="04A0" w:firstRow="1" w:lastRow="0" w:firstColumn="1" w:lastColumn="0" w:noHBand="0" w:noVBand="1"/>
      </w:tblPr>
      <w:tblGrid>
        <w:gridCol w:w="1750"/>
        <w:gridCol w:w="80"/>
        <w:gridCol w:w="9463"/>
        <w:gridCol w:w="157"/>
        <w:gridCol w:w="800"/>
        <w:gridCol w:w="77"/>
        <w:gridCol w:w="1950"/>
      </w:tblGrid>
      <w:tr w:rsidR="003E02B6" w:rsidRPr="00942059" w14:paraId="40831220" w14:textId="77777777" w:rsidTr="00944568">
        <w:trPr>
          <w:trHeight w:val="567"/>
        </w:trPr>
        <w:tc>
          <w:tcPr>
            <w:tcW w:w="641" w:type="pct"/>
            <w:gridSpan w:val="2"/>
            <w:shd w:val="clear" w:color="auto" w:fill="E7E6E6" w:themeFill="background2"/>
            <w:vAlign w:val="center"/>
          </w:tcPr>
          <w:p w14:paraId="5CF5B23C" w14:textId="777777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t>Codice</w:t>
            </w:r>
          </w:p>
        </w:tc>
        <w:tc>
          <w:tcPr>
            <w:tcW w:w="3314" w:type="pct"/>
            <w:shd w:val="clear" w:color="auto" w:fill="E7E6E6" w:themeFill="background2"/>
            <w:vAlign w:val="center"/>
          </w:tcPr>
          <w:p w14:paraId="58C395B7" w14:textId="777777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t>DESCRIZIONE COMPLETA DEGLI ARREDI</w:t>
            </w:r>
          </w:p>
        </w:tc>
        <w:tc>
          <w:tcPr>
            <w:tcW w:w="335" w:type="pct"/>
            <w:gridSpan w:val="2"/>
            <w:shd w:val="clear" w:color="auto" w:fill="E7E6E6" w:themeFill="background2"/>
            <w:vAlign w:val="center"/>
          </w:tcPr>
          <w:p w14:paraId="6253793A" w14:textId="777777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t>U.M.</w:t>
            </w:r>
          </w:p>
        </w:tc>
        <w:tc>
          <w:tcPr>
            <w:tcW w:w="710" w:type="pct"/>
            <w:gridSpan w:val="2"/>
            <w:shd w:val="clear" w:color="auto" w:fill="E7E6E6" w:themeFill="background2"/>
            <w:vAlign w:val="center"/>
          </w:tcPr>
          <w:p w14:paraId="375E878E" w14:textId="77777777" w:rsidR="003E02B6" w:rsidRPr="00942059" w:rsidRDefault="003E02B6" w:rsidP="00F65CA5">
            <w:pPr>
              <w:jc w:val="center"/>
              <w:rPr>
                <w:rFonts w:ascii="Titillium" w:hAnsi="Titillium"/>
                <w:b/>
                <w:bCs/>
                <w:sz w:val="20"/>
                <w:szCs w:val="18"/>
              </w:rPr>
            </w:pPr>
            <w:r w:rsidRPr="00942059">
              <w:rPr>
                <w:rFonts w:ascii="Titillium" w:hAnsi="Titillium"/>
                <w:b/>
                <w:bCs/>
                <w:sz w:val="20"/>
                <w:szCs w:val="18"/>
              </w:rPr>
              <w:t>Prezzo Unitario (€)</w:t>
            </w:r>
          </w:p>
        </w:tc>
      </w:tr>
      <w:tr w:rsidR="003E02B6" w:rsidRPr="00942059" w14:paraId="47A74AB5" w14:textId="77777777" w:rsidTr="00944568">
        <w:trPr>
          <w:trHeight w:val="567"/>
        </w:trPr>
        <w:tc>
          <w:tcPr>
            <w:tcW w:w="5000" w:type="pct"/>
            <w:gridSpan w:val="7"/>
            <w:shd w:val="clear" w:color="auto" w:fill="auto"/>
            <w:vAlign w:val="center"/>
          </w:tcPr>
          <w:p w14:paraId="7F5B30A9" w14:textId="77777777" w:rsidR="003E02B6" w:rsidRPr="00942059" w:rsidRDefault="003E02B6" w:rsidP="00944568">
            <w:pPr>
              <w:rPr>
                <w:rFonts w:ascii="Titillium" w:hAnsi="Titillium"/>
                <w:b/>
                <w:bCs/>
              </w:rPr>
            </w:pPr>
            <w:r w:rsidRPr="00942059">
              <w:rPr>
                <w:rFonts w:ascii="Titillium" w:hAnsi="Titillium"/>
                <w:b/>
                <w:bCs/>
              </w:rPr>
              <w:t>Arredi per Ufficio Operativo*</w:t>
            </w:r>
          </w:p>
          <w:p w14:paraId="6866B7D5" w14:textId="77777777" w:rsidR="003E02B6" w:rsidRPr="00942059" w:rsidRDefault="003E02B6" w:rsidP="00944568">
            <w:pPr>
              <w:rPr>
                <w:rFonts w:ascii="Titillium" w:hAnsi="Titillium"/>
                <w:b/>
                <w:bCs/>
                <w:i/>
                <w:iCs/>
              </w:rPr>
            </w:pPr>
            <w:r w:rsidRPr="00942059">
              <w:rPr>
                <w:rFonts w:ascii="Titillium" w:hAnsi="Titillium"/>
                <w:b/>
                <w:bCs/>
                <w:i/>
                <w:iCs/>
                <w:sz w:val="16"/>
                <w:szCs w:val="16"/>
              </w:rPr>
              <w:t>*Tutte le forniture appartenenti a questa area dovranno essere coordinate in termini di materiali e finiture.</w:t>
            </w:r>
          </w:p>
        </w:tc>
      </w:tr>
      <w:tr w:rsidR="003E02B6" w:rsidRPr="00942059" w14:paraId="6A9E89A3" w14:textId="77777777" w:rsidTr="00944568">
        <w:trPr>
          <w:trHeight w:val="1134"/>
        </w:trPr>
        <w:tc>
          <w:tcPr>
            <w:tcW w:w="641" w:type="pct"/>
            <w:gridSpan w:val="2"/>
          </w:tcPr>
          <w:p w14:paraId="77E9E3E8" w14:textId="77777777" w:rsidR="003E02B6" w:rsidRPr="00942059" w:rsidRDefault="003E02B6" w:rsidP="00944568">
            <w:pPr>
              <w:rPr>
                <w:rFonts w:ascii="Titillium" w:hAnsi="Titillium"/>
                <w:b/>
                <w:bCs/>
              </w:rPr>
            </w:pPr>
            <w:r w:rsidRPr="00942059">
              <w:rPr>
                <w:rFonts w:ascii="Titillium" w:hAnsi="Titillium"/>
                <w:b/>
                <w:bCs/>
                <w:sz w:val="20"/>
                <w:szCs w:val="18"/>
              </w:rPr>
              <w:t>OPR 01</w:t>
            </w:r>
          </w:p>
        </w:tc>
        <w:tc>
          <w:tcPr>
            <w:tcW w:w="3314" w:type="pct"/>
          </w:tcPr>
          <w:p w14:paraId="62D93989"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una scrivania operativa rettangolare delle dimensioni di circa cm 140 x 80 x 70-75 (</w:t>
            </w:r>
            <w:proofErr w:type="spellStart"/>
            <w:r w:rsidRPr="00942059">
              <w:rPr>
                <w:rFonts w:ascii="Titillium" w:hAnsi="Titillium"/>
                <w:sz w:val="18"/>
                <w:szCs w:val="18"/>
              </w:rPr>
              <w:t>LxPxH</w:t>
            </w:r>
            <w:proofErr w:type="spellEnd"/>
            <w:r w:rsidRPr="00942059">
              <w:rPr>
                <w:rFonts w:ascii="Titillium" w:hAnsi="Titillium"/>
                <w:sz w:val="18"/>
                <w:szCs w:val="18"/>
              </w:rPr>
              <w:t xml:space="preserve">) avente piano di lavoro in legno realizzato in truciolare (classe E1), spessore a partire da mm 25, con rivestimento su ambo i lati in nobilitato melaminico, antiriflesso e antigraffio. I piani di lavoro sono arrotondati e bordati con uno spessore pari a circa mm 2. La struttura della scrivania deve soddisfare i requisiti di stabilità, resistenza e durabilità; la struttura può essere realizzata in acciaio cromato, o in alluminio lucido, o in alluminio verniciato a polveri epossidiche. La scrivania deve essere provvista di apposita canalizzazione dei cavi orizzontale e verticale (a titolo esemplificativo: canalina orizzontale sottostante il piano di lavoro, gamba a “T” rovesciata con canalina incorporata, canalina magnetica verticale collegata alla struttura della scrivania per il passaggio dei cavi, o vertebra, etc.) e di uno sportello passacavi sul piano di lavoro (ad es. </w:t>
            </w:r>
            <w:r w:rsidRPr="00942059">
              <w:rPr>
                <w:rFonts w:ascii="Titillium" w:hAnsi="Titillium"/>
                <w:i/>
                <w:iCs/>
                <w:sz w:val="18"/>
                <w:szCs w:val="18"/>
              </w:rPr>
              <w:t>top access</w:t>
            </w:r>
            <w:r w:rsidRPr="00942059">
              <w:rPr>
                <w:rFonts w:ascii="Titillium" w:hAnsi="Titillium"/>
                <w:sz w:val="18"/>
                <w:szCs w:val="18"/>
              </w:rPr>
              <w:t>). Le finiture sono da definire in relazione ad una rosa di colori proposta. Il prezzo unitario remunera altresì il trasporto, il tiro in alto, il montaggio, lo smaltimento imballaggi e ogni onere e magistero per fornire il prodotto installato a perfetta regola d’arte.</w:t>
            </w:r>
          </w:p>
        </w:tc>
        <w:tc>
          <w:tcPr>
            <w:tcW w:w="335" w:type="pct"/>
            <w:gridSpan w:val="2"/>
            <w:vAlign w:val="bottom"/>
          </w:tcPr>
          <w:p w14:paraId="42811928"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10" w:type="pct"/>
            <w:gridSpan w:val="2"/>
            <w:vAlign w:val="bottom"/>
          </w:tcPr>
          <w:p w14:paraId="6DAEEBF2"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408,</w:t>
            </w:r>
            <w:proofErr w:type="gramStart"/>
            <w:r w:rsidRPr="00942059">
              <w:rPr>
                <w:rFonts w:ascii="Titillium" w:hAnsi="Titillium"/>
                <w:sz w:val="18"/>
                <w:szCs w:val="18"/>
              </w:rPr>
              <w:t>36  €</w:t>
            </w:r>
            <w:proofErr w:type="gramEnd"/>
          </w:p>
        </w:tc>
      </w:tr>
      <w:tr w:rsidR="003E02B6" w:rsidRPr="00942059" w14:paraId="2B3070A7" w14:textId="77777777" w:rsidTr="003E02B6">
        <w:trPr>
          <w:trHeight w:val="567"/>
        </w:trPr>
        <w:tc>
          <w:tcPr>
            <w:tcW w:w="613" w:type="pct"/>
            <w:shd w:val="clear" w:color="auto" w:fill="E7E6E6" w:themeFill="background2"/>
            <w:vAlign w:val="center"/>
          </w:tcPr>
          <w:p w14:paraId="330BB671" w14:textId="777777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lastRenderedPageBreak/>
              <w:t>Codice</w:t>
            </w:r>
          </w:p>
        </w:tc>
        <w:tc>
          <w:tcPr>
            <w:tcW w:w="3397" w:type="pct"/>
            <w:gridSpan w:val="3"/>
            <w:shd w:val="clear" w:color="auto" w:fill="E7E6E6" w:themeFill="background2"/>
            <w:vAlign w:val="center"/>
          </w:tcPr>
          <w:p w14:paraId="6362DC06" w14:textId="777777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t>DESCRIZIONE COMPLETA DEGLI ARREDI</w:t>
            </w:r>
          </w:p>
        </w:tc>
        <w:tc>
          <w:tcPr>
            <w:tcW w:w="307" w:type="pct"/>
            <w:gridSpan w:val="2"/>
            <w:shd w:val="clear" w:color="auto" w:fill="E7E6E6" w:themeFill="background2"/>
            <w:vAlign w:val="center"/>
          </w:tcPr>
          <w:p w14:paraId="629FBD40" w14:textId="777777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t>U.M.</w:t>
            </w:r>
          </w:p>
        </w:tc>
        <w:tc>
          <w:tcPr>
            <w:tcW w:w="683" w:type="pct"/>
            <w:shd w:val="clear" w:color="auto" w:fill="E7E6E6" w:themeFill="background2"/>
            <w:vAlign w:val="center"/>
          </w:tcPr>
          <w:p w14:paraId="252C2FBF" w14:textId="77777777" w:rsidR="003E02B6" w:rsidRPr="00942059" w:rsidRDefault="003E02B6" w:rsidP="00F65CA5">
            <w:pPr>
              <w:jc w:val="center"/>
              <w:rPr>
                <w:rFonts w:ascii="Titillium" w:hAnsi="Titillium"/>
                <w:b/>
                <w:bCs/>
                <w:sz w:val="20"/>
                <w:szCs w:val="18"/>
              </w:rPr>
            </w:pPr>
            <w:r w:rsidRPr="00942059">
              <w:rPr>
                <w:rFonts w:ascii="Titillium" w:hAnsi="Titillium"/>
                <w:b/>
                <w:bCs/>
                <w:sz w:val="20"/>
                <w:szCs w:val="18"/>
              </w:rPr>
              <w:t>Prezzo Unitario (€)</w:t>
            </w:r>
          </w:p>
        </w:tc>
      </w:tr>
      <w:tr w:rsidR="003E02B6" w:rsidRPr="00942059" w14:paraId="7D261D1D" w14:textId="77777777" w:rsidTr="003E02B6">
        <w:trPr>
          <w:trHeight w:val="567"/>
        </w:trPr>
        <w:tc>
          <w:tcPr>
            <w:tcW w:w="5000" w:type="pct"/>
            <w:gridSpan w:val="7"/>
            <w:shd w:val="clear" w:color="auto" w:fill="auto"/>
            <w:vAlign w:val="center"/>
          </w:tcPr>
          <w:p w14:paraId="44A731BD" w14:textId="77777777" w:rsidR="003E02B6" w:rsidRPr="00942059" w:rsidRDefault="003E02B6" w:rsidP="00944568">
            <w:pPr>
              <w:rPr>
                <w:rFonts w:ascii="Titillium" w:hAnsi="Titillium"/>
                <w:b/>
                <w:bCs/>
              </w:rPr>
            </w:pPr>
            <w:r w:rsidRPr="00942059">
              <w:rPr>
                <w:rFonts w:ascii="Titillium" w:hAnsi="Titillium"/>
                <w:b/>
                <w:bCs/>
              </w:rPr>
              <w:t>Arredi per Ufficio Responsabile*</w:t>
            </w:r>
          </w:p>
          <w:p w14:paraId="5D2C076F" w14:textId="77777777" w:rsidR="003E02B6" w:rsidRPr="00942059" w:rsidRDefault="003E02B6" w:rsidP="00944568">
            <w:pPr>
              <w:rPr>
                <w:rFonts w:ascii="Titillium" w:hAnsi="Titillium"/>
                <w:b/>
                <w:bCs/>
              </w:rPr>
            </w:pPr>
            <w:r w:rsidRPr="00942059">
              <w:rPr>
                <w:rFonts w:ascii="Titillium" w:hAnsi="Titillium"/>
                <w:b/>
                <w:bCs/>
                <w:sz w:val="16"/>
                <w:szCs w:val="16"/>
              </w:rPr>
              <w:t>*</w:t>
            </w:r>
            <w:r w:rsidRPr="00942059">
              <w:rPr>
                <w:rFonts w:ascii="Titillium" w:hAnsi="Titillium"/>
                <w:b/>
                <w:bCs/>
                <w:i/>
                <w:iCs/>
                <w:sz w:val="16"/>
                <w:szCs w:val="16"/>
              </w:rPr>
              <w:t>Tutte le forniture appartenenti a questa area dovranno essere coordinate in termini di materiali e finiture.</w:t>
            </w:r>
          </w:p>
        </w:tc>
      </w:tr>
      <w:tr w:rsidR="003E02B6" w:rsidRPr="00942059" w14:paraId="6D39DAD3" w14:textId="77777777" w:rsidTr="003E02B6">
        <w:trPr>
          <w:trHeight w:val="569"/>
        </w:trPr>
        <w:tc>
          <w:tcPr>
            <w:tcW w:w="613" w:type="pct"/>
          </w:tcPr>
          <w:p w14:paraId="5F13339D" w14:textId="4CFAA3E3" w:rsidR="003E02B6" w:rsidRPr="00942059" w:rsidRDefault="003E02B6" w:rsidP="00944568">
            <w:pPr>
              <w:rPr>
                <w:rFonts w:ascii="Titillium" w:hAnsi="Titillium"/>
                <w:sz w:val="20"/>
                <w:szCs w:val="18"/>
              </w:rPr>
            </w:pPr>
            <w:r w:rsidRPr="00942059">
              <w:rPr>
                <w:rFonts w:ascii="Titillium" w:hAnsi="Titillium"/>
                <w:b/>
                <w:bCs/>
                <w:sz w:val="20"/>
                <w:szCs w:val="18"/>
              </w:rPr>
              <w:t>OPR 02</w:t>
            </w:r>
          </w:p>
        </w:tc>
        <w:tc>
          <w:tcPr>
            <w:tcW w:w="3397" w:type="pct"/>
            <w:gridSpan w:val="3"/>
          </w:tcPr>
          <w:p w14:paraId="7EB00278"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una scrivania operativa elevabile rettangolare, con altezza selezionabile e programmabile, delle dimensioni di circa cm 140 x 80 x 55-130 (</w:t>
            </w:r>
            <w:proofErr w:type="spellStart"/>
            <w:r w:rsidRPr="00942059">
              <w:rPr>
                <w:rFonts w:ascii="Titillium" w:hAnsi="Titillium"/>
                <w:sz w:val="18"/>
                <w:szCs w:val="18"/>
              </w:rPr>
              <w:t>LxPxH</w:t>
            </w:r>
            <w:proofErr w:type="spellEnd"/>
            <w:r w:rsidRPr="00942059">
              <w:rPr>
                <w:rFonts w:ascii="Titillium" w:hAnsi="Titillium"/>
                <w:sz w:val="18"/>
                <w:szCs w:val="18"/>
              </w:rPr>
              <w:t xml:space="preserve">) avente piano di lavoro in legno realizzato in truciolare (classe E1), spessore a partire da mm 25, con rivestimento su ambo i lati in nobilitato melaminico, antiriflesso e antigraffio. I piani di lavoro sono arrotondati e bordati con uno spessore pari a circa mm 2. La struttura della scrivania deve soddisfare i requisiti di stabilità, resistenza, durabilità; la struttura può essere realizzata in acciaio cromato, o in alluminio lucido, o in alluminio verniciato a polveri epossidiche. La scrivania deve essere provvista di apposita canalizzazione dei cavi orizzontale e verticale (a titolo esemplificativo: canalina orizzontale sottostante il piano di lavoro, gamba a “T” rovesciata con canalina incorporata, canalina magnetica verticale collegata alla struttura della scrivania per il passaggio dei cavi, o vertebra, etc.) e di uno sportello passacavi sul piano di lavoro (ad es. </w:t>
            </w:r>
            <w:r w:rsidRPr="00942059">
              <w:rPr>
                <w:rFonts w:ascii="Titillium" w:hAnsi="Titillium"/>
                <w:i/>
                <w:iCs/>
                <w:sz w:val="18"/>
                <w:szCs w:val="18"/>
              </w:rPr>
              <w:t>top access</w:t>
            </w:r>
            <w:r w:rsidRPr="00942059">
              <w:rPr>
                <w:rFonts w:ascii="Titillium" w:hAnsi="Titillium"/>
                <w:sz w:val="18"/>
                <w:szCs w:val="18"/>
              </w:rPr>
              <w:t xml:space="preserve">).La scrivania deve essere dotata di una pulsantiera </w:t>
            </w:r>
            <w:r w:rsidRPr="00942059">
              <w:rPr>
                <w:rFonts w:ascii="Titillium" w:hAnsi="Titillium"/>
                <w:i/>
                <w:iCs/>
                <w:sz w:val="18"/>
                <w:szCs w:val="18"/>
              </w:rPr>
              <w:t>Up/Down</w:t>
            </w:r>
            <w:r w:rsidRPr="00942059">
              <w:rPr>
                <w:rFonts w:ascii="Titillium" w:hAnsi="Titillium"/>
                <w:sz w:val="18"/>
                <w:szCs w:val="18"/>
              </w:rPr>
              <w:t xml:space="preserve"> con pulsanti programmabili e da un cavo di alimentazione del tipo EU con lunghezza pari a circa cm 300. Le finiture sono da definire in relazione ad una rosa di colori proposta e devono essere coordinate alla scrivania operativa OPR 01. Il prezzo unitario remunera altresì il trasporto, il tiro in alto, il montaggio, lo smaltimento imballaggi e ogni onere e magistero per fornire il prodotto installato a perfetta regola d’arte.</w:t>
            </w:r>
          </w:p>
        </w:tc>
        <w:tc>
          <w:tcPr>
            <w:tcW w:w="307" w:type="pct"/>
            <w:gridSpan w:val="2"/>
            <w:vAlign w:val="bottom"/>
          </w:tcPr>
          <w:p w14:paraId="415BC023"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683" w:type="pct"/>
            <w:vAlign w:val="bottom"/>
          </w:tcPr>
          <w:p w14:paraId="77E6D302"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940,52 €</w:t>
            </w:r>
          </w:p>
        </w:tc>
      </w:tr>
      <w:tr w:rsidR="003E02B6" w:rsidRPr="00942059" w14:paraId="0A6452E4" w14:textId="77777777" w:rsidTr="003E02B6">
        <w:trPr>
          <w:trHeight w:val="1134"/>
        </w:trPr>
        <w:tc>
          <w:tcPr>
            <w:tcW w:w="613" w:type="pct"/>
            <w:shd w:val="clear" w:color="auto" w:fill="auto"/>
          </w:tcPr>
          <w:p w14:paraId="5F8CCE75" w14:textId="77777777" w:rsidR="003E02B6" w:rsidRPr="00942059" w:rsidRDefault="003E02B6" w:rsidP="00944568">
            <w:pPr>
              <w:rPr>
                <w:rFonts w:ascii="Titillium" w:hAnsi="Titillium"/>
                <w:b/>
                <w:bCs/>
                <w:sz w:val="20"/>
                <w:szCs w:val="18"/>
              </w:rPr>
            </w:pPr>
            <w:r w:rsidRPr="00942059">
              <w:rPr>
                <w:rFonts w:ascii="Titillium" w:hAnsi="Titillium"/>
                <w:b/>
                <w:bCs/>
                <w:sz w:val="20"/>
                <w:szCs w:val="18"/>
              </w:rPr>
              <w:t>OPR 03</w:t>
            </w:r>
          </w:p>
        </w:tc>
        <w:tc>
          <w:tcPr>
            <w:tcW w:w="3397" w:type="pct"/>
            <w:gridSpan w:val="3"/>
            <w:shd w:val="clear" w:color="auto" w:fill="auto"/>
          </w:tcPr>
          <w:p w14:paraId="37D93772" w14:textId="77777777" w:rsidR="003E02B6" w:rsidRPr="00942059" w:rsidRDefault="003E02B6" w:rsidP="00944568">
            <w:pPr>
              <w:rPr>
                <w:rFonts w:ascii="Titillium" w:hAnsi="Titillium"/>
                <w:strike/>
                <w:sz w:val="18"/>
                <w:szCs w:val="18"/>
              </w:rPr>
            </w:pPr>
            <w:r w:rsidRPr="00942059">
              <w:rPr>
                <w:rFonts w:ascii="Titillium" w:hAnsi="Titillium"/>
                <w:sz w:val="18"/>
                <w:szCs w:val="18"/>
              </w:rPr>
              <w:t>Fornitura e posa in opera di dattilo rettangolare delle dimensioni di circa cm 90 x 60 x 70-75 (</w:t>
            </w:r>
            <w:proofErr w:type="spellStart"/>
            <w:r w:rsidRPr="00942059">
              <w:rPr>
                <w:rFonts w:ascii="Titillium" w:hAnsi="Titillium"/>
                <w:sz w:val="18"/>
                <w:szCs w:val="18"/>
              </w:rPr>
              <w:t>LxPxH</w:t>
            </w:r>
            <w:proofErr w:type="spellEnd"/>
            <w:r w:rsidRPr="00942059">
              <w:rPr>
                <w:rFonts w:ascii="Titillium" w:hAnsi="Titillium"/>
                <w:sz w:val="18"/>
                <w:szCs w:val="18"/>
              </w:rPr>
              <w:t>) avente piano di lavoro in legno realizzato in truciolare (classe E1), spessore a partire da mm 25., con rivestimento su ambo i lati in nobilitato melaminico, antiriflesso e antigraffio. I piani di lavoro sono arrotondati e bordati con uno spessore pari a circa mm 2. La struttura della scrivania deve soddisfare i requisiti di stabilità, resistenza e durabilità, deve essere dotata di n.4 gambe e può essere realizzata in acciaio o in alluminio verniciato a polveri epossidiche. Le finiture sono da definire in relazione ad una rosa di colori proposta.  Il prezzo unitario remunera altresì il trasporto, il tiro in alto, il montaggio, lo smaltimento imballaggi e ogni onere e magistero per fornire il prodotto installato a perfetta regola d’arte.</w:t>
            </w:r>
          </w:p>
        </w:tc>
        <w:tc>
          <w:tcPr>
            <w:tcW w:w="307" w:type="pct"/>
            <w:gridSpan w:val="2"/>
            <w:shd w:val="clear" w:color="auto" w:fill="auto"/>
            <w:vAlign w:val="bottom"/>
          </w:tcPr>
          <w:p w14:paraId="2330DB32"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683" w:type="pct"/>
            <w:shd w:val="clear" w:color="auto" w:fill="auto"/>
            <w:vAlign w:val="bottom"/>
          </w:tcPr>
          <w:p w14:paraId="2455CB48" w14:textId="77777777" w:rsidR="003E02B6" w:rsidRPr="00942059" w:rsidRDefault="003E02B6" w:rsidP="00944568">
            <w:pPr>
              <w:jc w:val="right"/>
              <w:rPr>
                <w:rFonts w:ascii="Titillium" w:hAnsi="Titillium"/>
                <w:color w:val="FF0000"/>
                <w:sz w:val="18"/>
                <w:szCs w:val="18"/>
              </w:rPr>
            </w:pPr>
            <w:r w:rsidRPr="00942059">
              <w:rPr>
                <w:rFonts w:ascii="Titillium" w:hAnsi="Titillium"/>
                <w:sz w:val="18"/>
                <w:szCs w:val="18"/>
              </w:rPr>
              <w:t>408,</w:t>
            </w:r>
            <w:proofErr w:type="gramStart"/>
            <w:r w:rsidRPr="00942059">
              <w:rPr>
                <w:rFonts w:ascii="Titillium" w:hAnsi="Titillium"/>
                <w:sz w:val="18"/>
                <w:szCs w:val="18"/>
              </w:rPr>
              <w:t>36  €</w:t>
            </w:r>
            <w:proofErr w:type="gramEnd"/>
          </w:p>
        </w:tc>
      </w:tr>
      <w:tr w:rsidR="003E02B6" w:rsidRPr="00942059" w14:paraId="041D81F2" w14:textId="77777777" w:rsidTr="003E02B6">
        <w:trPr>
          <w:trHeight w:val="556"/>
        </w:trPr>
        <w:tc>
          <w:tcPr>
            <w:tcW w:w="613" w:type="pct"/>
          </w:tcPr>
          <w:p w14:paraId="45CC9E1D" w14:textId="77777777" w:rsidR="003E02B6" w:rsidRPr="00942059" w:rsidRDefault="003E02B6" w:rsidP="00944568">
            <w:pPr>
              <w:rPr>
                <w:rFonts w:ascii="Titillium" w:hAnsi="Titillium"/>
                <w:sz w:val="20"/>
                <w:szCs w:val="18"/>
              </w:rPr>
            </w:pPr>
            <w:r w:rsidRPr="00942059">
              <w:rPr>
                <w:rFonts w:ascii="Titillium" w:hAnsi="Titillium"/>
                <w:b/>
                <w:bCs/>
                <w:sz w:val="20"/>
                <w:szCs w:val="18"/>
              </w:rPr>
              <w:t>OPR 04</w:t>
            </w:r>
          </w:p>
        </w:tc>
        <w:tc>
          <w:tcPr>
            <w:tcW w:w="3397" w:type="pct"/>
            <w:gridSpan w:val="3"/>
          </w:tcPr>
          <w:p w14:paraId="55DA9B98"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cassettiera operativa delle dimensioni di circa cm 40x55x55-60 (</w:t>
            </w:r>
            <w:proofErr w:type="spellStart"/>
            <w:r w:rsidRPr="00942059">
              <w:rPr>
                <w:rFonts w:ascii="Titillium" w:hAnsi="Titillium"/>
                <w:sz w:val="18"/>
                <w:szCs w:val="18"/>
              </w:rPr>
              <w:t>LxPxH</w:t>
            </w:r>
            <w:proofErr w:type="spellEnd"/>
            <w:r w:rsidRPr="00942059">
              <w:rPr>
                <w:rFonts w:ascii="Titillium" w:hAnsi="Titillium"/>
                <w:sz w:val="18"/>
                <w:szCs w:val="18"/>
              </w:rPr>
              <w:t>), su ruote pivotanti. La struttura e i cassetti devono essere in pannelli in legno realizzati in truciolare ad alta densità (classe E1), bordati e con raggio di curvatura pari ad almeno mm 2, con rivestimento in nobilitato melaminico. La cassettiera è dotata di n.3 cassetti, con chiusura centralizzata a cilindro estraibile fornito di doppia chiave pieghevole antinfortunistica, detta cassettiera deve presentare guide metalliche di tipo telescopico dotate di cuscinetti a sfera ad estrazione parziale e dispositivo di arresto a fine corsa, nonché deve essere dotato di</w:t>
            </w:r>
            <w:r w:rsidRPr="00942059" w:rsidDel="00CA6B4E">
              <w:rPr>
                <w:rFonts w:ascii="Titillium" w:hAnsi="Titillium"/>
                <w:sz w:val="18"/>
                <w:szCs w:val="18"/>
              </w:rPr>
              <w:t xml:space="preserve"> </w:t>
            </w:r>
            <w:r w:rsidRPr="00942059">
              <w:rPr>
                <w:rFonts w:ascii="Titillium" w:hAnsi="Titillium"/>
                <w:sz w:val="18"/>
                <w:szCs w:val="18"/>
              </w:rPr>
              <w:t>maniglie “a ponte” o “a gola cava” orizzontale.</w:t>
            </w:r>
          </w:p>
          <w:p w14:paraId="3E9006FC" w14:textId="77777777" w:rsidR="003E02B6" w:rsidRPr="00942059" w:rsidRDefault="003E02B6" w:rsidP="00944568">
            <w:pPr>
              <w:rPr>
                <w:rFonts w:ascii="Titillium" w:hAnsi="Titillium"/>
                <w:sz w:val="18"/>
                <w:szCs w:val="18"/>
              </w:rPr>
            </w:pPr>
            <w:r w:rsidRPr="00942059">
              <w:rPr>
                <w:rFonts w:ascii="Titillium" w:hAnsi="Titillium"/>
                <w:sz w:val="18"/>
                <w:szCs w:val="18"/>
              </w:rPr>
              <w:t>Le finiture sono da definire in relazione ad una rosa di colori proposta e devono essere coordinate alle scrivanie operative OPR 01 e OPR 02. Il prezzo unitario remunera altresì il trasporto, il tiro in alto, il montaggio, lo smaltimento imballaggi e ogni onere e magistero per fornire il prodotto installato a perfetta regola d’arte.</w:t>
            </w:r>
          </w:p>
        </w:tc>
        <w:tc>
          <w:tcPr>
            <w:tcW w:w="307" w:type="pct"/>
            <w:gridSpan w:val="2"/>
            <w:vAlign w:val="bottom"/>
          </w:tcPr>
          <w:p w14:paraId="3668D98C"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683" w:type="pct"/>
            <w:vAlign w:val="bottom"/>
          </w:tcPr>
          <w:p w14:paraId="6F6EAE31"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234,03 €</w:t>
            </w:r>
          </w:p>
        </w:tc>
      </w:tr>
    </w:tbl>
    <w:p w14:paraId="666867DB" w14:textId="77777777" w:rsidR="00F65CA5" w:rsidRPr="00942059" w:rsidRDefault="00F65CA5">
      <w:r w:rsidRPr="00942059">
        <w:br w:type="page"/>
      </w:r>
    </w:p>
    <w:tbl>
      <w:tblPr>
        <w:tblStyle w:val="Grigliatabella"/>
        <w:tblW w:w="5000" w:type="pct"/>
        <w:tblLook w:val="04A0" w:firstRow="1" w:lastRow="0" w:firstColumn="1" w:lastColumn="0" w:noHBand="0" w:noVBand="1"/>
      </w:tblPr>
      <w:tblGrid>
        <w:gridCol w:w="1750"/>
        <w:gridCol w:w="9700"/>
        <w:gridCol w:w="877"/>
        <w:gridCol w:w="1950"/>
      </w:tblGrid>
      <w:tr w:rsidR="00F65CA5" w:rsidRPr="00942059" w14:paraId="7BA798BD" w14:textId="77777777" w:rsidTr="00944568">
        <w:trPr>
          <w:trHeight w:val="567"/>
        </w:trPr>
        <w:tc>
          <w:tcPr>
            <w:tcW w:w="613" w:type="pct"/>
            <w:shd w:val="clear" w:color="auto" w:fill="E7E6E6" w:themeFill="background2"/>
            <w:vAlign w:val="center"/>
          </w:tcPr>
          <w:p w14:paraId="6495F015" w14:textId="77777777" w:rsidR="00F65CA5" w:rsidRPr="00942059" w:rsidRDefault="00F65CA5" w:rsidP="00944568">
            <w:pPr>
              <w:jc w:val="center"/>
              <w:rPr>
                <w:rFonts w:ascii="Titillium" w:hAnsi="Titillium"/>
                <w:b/>
                <w:bCs/>
                <w:sz w:val="20"/>
                <w:szCs w:val="18"/>
              </w:rPr>
            </w:pPr>
            <w:r w:rsidRPr="00942059">
              <w:rPr>
                <w:rFonts w:ascii="Titillium" w:hAnsi="Titillium"/>
                <w:b/>
                <w:bCs/>
                <w:sz w:val="20"/>
                <w:szCs w:val="18"/>
              </w:rPr>
              <w:lastRenderedPageBreak/>
              <w:t>Codice</w:t>
            </w:r>
          </w:p>
        </w:tc>
        <w:tc>
          <w:tcPr>
            <w:tcW w:w="3397" w:type="pct"/>
            <w:shd w:val="clear" w:color="auto" w:fill="E7E6E6" w:themeFill="background2"/>
            <w:vAlign w:val="center"/>
          </w:tcPr>
          <w:p w14:paraId="67282F64" w14:textId="77777777" w:rsidR="00F65CA5" w:rsidRPr="00942059" w:rsidRDefault="00F65CA5" w:rsidP="00944568">
            <w:pPr>
              <w:jc w:val="center"/>
              <w:rPr>
                <w:rFonts w:ascii="Titillium" w:hAnsi="Titillium"/>
                <w:b/>
                <w:bCs/>
                <w:sz w:val="20"/>
                <w:szCs w:val="18"/>
              </w:rPr>
            </w:pPr>
            <w:r w:rsidRPr="00942059">
              <w:rPr>
                <w:rFonts w:ascii="Titillium" w:hAnsi="Titillium"/>
                <w:b/>
                <w:bCs/>
                <w:sz w:val="20"/>
                <w:szCs w:val="18"/>
              </w:rPr>
              <w:t>DESCRIZIONE COMPLETA DEGLI ARREDI</w:t>
            </w:r>
          </w:p>
        </w:tc>
        <w:tc>
          <w:tcPr>
            <w:tcW w:w="307" w:type="pct"/>
            <w:shd w:val="clear" w:color="auto" w:fill="E7E6E6" w:themeFill="background2"/>
            <w:vAlign w:val="center"/>
          </w:tcPr>
          <w:p w14:paraId="0BAF0066" w14:textId="77777777" w:rsidR="00F65CA5" w:rsidRPr="00942059" w:rsidRDefault="00F65CA5" w:rsidP="00944568">
            <w:pPr>
              <w:jc w:val="center"/>
              <w:rPr>
                <w:rFonts w:ascii="Titillium" w:hAnsi="Titillium"/>
                <w:b/>
                <w:bCs/>
                <w:sz w:val="20"/>
                <w:szCs w:val="18"/>
              </w:rPr>
            </w:pPr>
            <w:r w:rsidRPr="00942059">
              <w:rPr>
                <w:rFonts w:ascii="Titillium" w:hAnsi="Titillium"/>
                <w:b/>
                <w:bCs/>
                <w:sz w:val="20"/>
                <w:szCs w:val="18"/>
              </w:rPr>
              <w:t>U.M.</w:t>
            </w:r>
          </w:p>
        </w:tc>
        <w:tc>
          <w:tcPr>
            <w:tcW w:w="683" w:type="pct"/>
            <w:shd w:val="clear" w:color="auto" w:fill="E7E6E6" w:themeFill="background2"/>
            <w:vAlign w:val="center"/>
          </w:tcPr>
          <w:p w14:paraId="53AF0033" w14:textId="77777777" w:rsidR="00F65CA5" w:rsidRPr="00942059" w:rsidRDefault="00F65CA5" w:rsidP="00944568">
            <w:pPr>
              <w:jc w:val="center"/>
              <w:rPr>
                <w:rFonts w:ascii="Titillium" w:hAnsi="Titillium"/>
                <w:b/>
                <w:bCs/>
                <w:sz w:val="20"/>
                <w:szCs w:val="18"/>
              </w:rPr>
            </w:pPr>
            <w:r w:rsidRPr="00942059">
              <w:rPr>
                <w:rFonts w:ascii="Titillium" w:hAnsi="Titillium"/>
                <w:b/>
                <w:bCs/>
                <w:sz w:val="20"/>
                <w:szCs w:val="18"/>
              </w:rPr>
              <w:t>Prezzo Unitario (€)</w:t>
            </w:r>
          </w:p>
        </w:tc>
      </w:tr>
      <w:tr w:rsidR="00F65CA5" w:rsidRPr="00942059" w14:paraId="339A2A8D" w14:textId="77777777" w:rsidTr="00944568">
        <w:trPr>
          <w:trHeight w:val="567"/>
        </w:trPr>
        <w:tc>
          <w:tcPr>
            <w:tcW w:w="5000" w:type="pct"/>
            <w:gridSpan w:val="4"/>
            <w:shd w:val="clear" w:color="auto" w:fill="auto"/>
            <w:vAlign w:val="center"/>
          </w:tcPr>
          <w:p w14:paraId="679B804C" w14:textId="77777777" w:rsidR="00F65CA5" w:rsidRPr="00942059" w:rsidRDefault="00F65CA5" w:rsidP="00944568">
            <w:pPr>
              <w:rPr>
                <w:rFonts w:ascii="Titillium" w:hAnsi="Titillium"/>
                <w:b/>
                <w:bCs/>
              </w:rPr>
            </w:pPr>
            <w:r w:rsidRPr="00942059">
              <w:rPr>
                <w:rFonts w:ascii="Titillium" w:hAnsi="Titillium"/>
                <w:b/>
                <w:bCs/>
              </w:rPr>
              <w:t>Arredi per Ufficio Responsabile*</w:t>
            </w:r>
          </w:p>
          <w:p w14:paraId="5395C457" w14:textId="77777777" w:rsidR="00F65CA5" w:rsidRPr="00942059" w:rsidRDefault="00F65CA5" w:rsidP="00944568">
            <w:pPr>
              <w:rPr>
                <w:rFonts w:ascii="Titillium" w:hAnsi="Titillium"/>
                <w:b/>
                <w:bCs/>
              </w:rPr>
            </w:pPr>
            <w:r w:rsidRPr="00942059">
              <w:rPr>
                <w:rFonts w:ascii="Titillium" w:hAnsi="Titillium"/>
                <w:b/>
                <w:bCs/>
                <w:sz w:val="16"/>
                <w:szCs w:val="16"/>
              </w:rPr>
              <w:t>*</w:t>
            </w:r>
            <w:r w:rsidRPr="00942059">
              <w:rPr>
                <w:rFonts w:ascii="Titillium" w:hAnsi="Titillium"/>
                <w:b/>
                <w:bCs/>
                <w:i/>
                <w:iCs/>
                <w:sz w:val="16"/>
                <w:szCs w:val="16"/>
              </w:rPr>
              <w:t>Tutte le forniture appartenenti a questa area dovranno essere coordinate in termini di materiali e finiture.</w:t>
            </w:r>
          </w:p>
        </w:tc>
      </w:tr>
      <w:tr w:rsidR="003E02B6" w:rsidRPr="00942059" w14:paraId="082DA4E7" w14:textId="77777777" w:rsidTr="003E02B6">
        <w:trPr>
          <w:trHeight w:val="1134"/>
        </w:trPr>
        <w:tc>
          <w:tcPr>
            <w:tcW w:w="613" w:type="pct"/>
          </w:tcPr>
          <w:p w14:paraId="7B0EC301" w14:textId="4C25EFAC" w:rsidR="003E02B6" w:rsidRPr="00942059" w:rsidRDefault="003E02B6" w:rsidP="00944568">
            <w:pPr>
              <w:rPr>
                <w:rFonts w:ascii="Titillium" w:hAnsi="Titillium"/>
                <w:b/>
                <w:bCs/>
                <w:sz w:val="20"/>
                <w:szCs w:val="18"/>
              </w:rPr>
            </w:pPr>
            <w:r w:rsidRPr="00942059">
              <w:rPr>
                <w:rFonts w:ascii="Titillium" w:hAnsi="Titillium"/>
                <w:b/>
                <w:bCs/>
                <w:sz w:val="20"/>
                <w:szCs w:val="18"/>
              </w:rPr>
              <w:t>OPR 05</w:t>
            </w:r>
          </w:p>
        </w:tc>
        <w:tc>
          <w:tcPr>
            <w:tcW w:w="3397" w:type="pct"/>
          </w:tcPr>
          <w:p w14:paraId="005BF002"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armadio alto operativo delle dimensioni di circa cm 80x42x180-210 (</w:t>
            </w:r>
            <w:proofErr w:type="spellStart"/>
            <w:r w:rsidRPr="00942059">
              <w:rPr>
                <w:rFonts w:ascii="Titillium" w:hAnsi="Titillium"/>
                <w:sz w:val="18"/>
                <w:szCs w:val="18"/>
              </w:rPr>
              <w:t>LxPxH</w:t>
            </w:r>
            <w:proofErr w:type="spellEnd"/>
            <w:r w:rsidRPr="00942059">
              <w:rPr>
                <w:rFonts w:ascii="Titillium" w:hAnsi="Titillium"/>
                <w:sz w:val="18"/>
                <w:szCs w:val="18"/>
              </w:rPr>
              <w:t>), con doppia anta battente. La struttura, le ante e i ripiani devono essere in pannelli in legno realizzati in truciolare ad alta densità (classe E1), bordati e con raggio di curvatura pari ad almeno mm 2, con rivestimento su ambo i lati in nobilitato melaminico. In corrispondenza della base dell’armadio devono essere presenti almeno n.4 piedini regolabili in altezza. L’armadio deve essere dotato di chiusura con cilindro estraibile fornito di doppia chiave pieghevole antinfortunistica, di maniglie “a ponte” o “a gola cava” verticale, di cerniere con fissaggio rapido a camma regolabili con apertura ad almeno 110°.Le finiture sono da definire in relazione ad una rosa di colori proposta e devono essere coordinate alle scrivanie operative OPR 01, OPR 02 e alla cassettiera operativa OPR 04. Il prezzo unitario remunera altresì il trasporto, il tiro in alto, il montaggio, lo smaltimento imballaggi e ogni onere e magistero per fornire il prodotto installato a perfetta regola d’arte.</w:t>
            </w:r>
          </w:p>
        </w:tc>
        <w:tc>
          <w:tcPr>
            <w:tcW w:w="307" w:type="pct"/>
            <w:vAlign w:val="bottom"/>
          </w:tcPr>
          <w:p w14:paraId="62132CE7"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683" w:type="pct"/>
            <w:vAlign w:val="bottom"/>
          </w:tcPr>
          <w:p w14:paraId="14AE9242"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855,47€</w:t>
            </w:r>
          </w:p>
        </w:tc>
      </w:tr>
      <w:tr w:rsidR="003E02B6" w:rsidRPr="00942059" w14:paraId="256962D6" w14:textId="77777777" w:rsidTr="003E02B6">
        <w:trPr>
          <w:trHeight w:val="556"/>
        </w:trPr>
        <w:tc>
          <w:tcPr>
            <w:tcW w:w="613" w:type="pct"/>
          </w:tcPr>
          <w:p w14:paraId="5A1BEADD" w14:textId="77777777" w:rsidR="003E02B6" w:rsidRPr="00942059" w:rsidRDefault="003E02B6" w:rsidP="00944568">
            <w:pPr>
              <w:rPr>
                <w:rFonts w:ascii="Titillium" w:hAnsi="Titillium"/>
                <w:b/>
                <w:bCs/>
                <w:sz w:val="20"/>
                <w:szCs w:val="18"/>
              </w:rPr>
            </w:pPr>
            <w:r w:rsidRPr="00942059">
              <w:rPr>
                <w:rFonts w:ascii="Titillium" w:hAnsi="Titillium"/>
                <w:b/>
                <w:bCs/>
                <w:sz w:val="20"/>
                <w:szCs w:val="18"/>
              </w:rPr>
              <w:t>OPR 06</w:t>
            </w:r>
          </w:p>
        </w:tc>
        <w:tc>
          <w:tcPr>
            <w:tcW w:w="3397" w:type="pct"/>
          </w:tcPr>
          <w:p w14:paraId="7C0DFBEB"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armadio alto operativo delle dimensioni di circa cm 90x42-47x180-210 (</w:t>
            </w:r>
            <w:proofErr w:type="spellStart"/>
            <w:r w:rsidRPr="00942059">
              <w:rPr>
                <w:rFonts w:ascii="Titillium" w:hAnsi="Titillium"/>
                <w:sz w:val="18"/>
                <w:szCs w:val="18"/>
              </w:rPr>
              <w:t>LxPxH</w:t>
            </w:r>
            <w:proofErr w:type="spellEnd"/>
            <w:r w:rsidRPr="00942059">
              <w:rPr>
                <w:rFonts w:ascii="Titillium" w:hAnsi="Titillium"/>
                <w:sz w:val="18"/>
                <w:szCs w:val="18"/>
              </w:rPr>
              <w:t>), con doppia anta battente. La struttura, le ante e i ripiani devono essere in pannelli in legno realizzati in truciolare ad alta densità (classe E1), bordati e con raggio di curvatura pari ad almeno mm 2, con rivestimento su ambo i lati in nobilitato melaminico. In corrispondenza della base dell’armadio devono essere presenti almeno n.4 piedini regolabili in altezza. L’armadio deve essere dotato di chiusura con cilindro estraibile fornito di doppia chiave pieghevole antinfortunistica, di maniglie “a ponte” o “a gola cava” verticale, di cerniere con fissaggio rapido a camma regolabili con apertura ad almeno 110°. Le finiture sono da definire in relazione ad una rosa di colori proposta e devono essere coordinate alle scrivanie operative OPR 01, OPR 02, alla cassettiera operativa OPR 04, e all’armadio operativo OPR 05. Il prezzo unitario remunera altresì il trasporto, il tiro in alto, il montaggio, lo smaltimento imballaggi e ogni onere e magistero per fornire il prodotto installato a perfetta regola d’arte.</w:t>
            </w:r>
          </w:p>
        </w:tc>
        <w:tc>
          <w:tcPr>
            <w:tcW w:w="307" w:type="pct"/>
            <w:vAlign w:val="bottom"/>
          </w:tcPr>
          <w:p w14:paraId="3F866C32"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683" w:type="pct"/>
            <w:vAlign w:val="bottom"/>
          </w:tcPr>
          <w:p w14:paraId="22F17D87"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658,05 €</w:t>
            </w:r>
          </w:p>
        </w:tc>
      </w:tr>
      <w:tr w:rsidR="003E02B6" w:rsidRPr="00942059" w14:paraId="51E1FDE0" w14:textId="77777777" w:rsidTr="003E02B6">
        <w:trPr>
          <w:trHeight w:val="1134"/>
        </w:trPr>
        <w:tc>
          <w:tcPr>
            <w:tcW w:w="613" w:type="pct"/>
          </w:tcPr>
          <w:p w14:paraId="57016775" w14:textId="77777777" w:rsidR="003E02B6" w:rsidRPr="00942059" w:rsidRDefault="003E02B6" w:rsidP="00944568">
            <w:pPr>
              <w:rPr>
                <w:rFonts w:ascii="Titillium" w:hAnsi="Titillium"/>
                <w:sz w:val="20"/>
                <w:szCs w:val="18"/>
              </w:rPr>
            </w:pPr>
            <w:r w:rsidRPr="00942059">
              <w:rPr>
                <w:rFonts w:ascii="Titillium" w:hAnsi="Titillium"/>
                <w:b/>
                <w:bCs/>
                <w:sz w:val="20"/>
                <w:szCs w:val="18"/>
              </w:rPr>
              <w:t>OPR 07</w:t>
            </w:r>
          </w:p>
        </w:tc>
        <w:tc>
          <w:tcPr>
            <w:tcW w:w="3397" w:type="pct"/>
          </w:tcPr>
          <w:p w14:paraId="6BEAEACA"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armadio basso operativo delle dimensioni di circa cm 80x42x70-85 (</w:t>
            </w:r>
            <w:proofErr w:type="spellStart"/>
            <w:r w:rsidRPr="00942059">
              <w:rPr>
                <w:rFonts w:ascii="Titillium" w:hAnsi="Titillium"/>
                <w:sz w:val="18"/>
                <w:szCs w:val="18"/>
              </w:rPr>
              <w:t>LxPxH</w:t>
            </w:r>
            <w:proofErr w:type="spellEnd"/>
            <w:r w:rsidRPr="00942059">
              <w:rPr>
                <w:rFonts w:ascii="Titillium" w:hAnsi="Titillium"/>
                <w:sz w:val="18"/>
                <w:szCs w:val="18"/>
              </w:rPr>
              <w:t>), su ruote pivotanti, con doppia anta a battente. La struttura, le ante e i ripiani devono essere in pannelli in legno realizzati in truciolare ad alta densità (classe E1), bordati e con raggio di curvatura pari ad almeno mm 2, con rivestimento su ambo i lati in nobilitato melaminico. In corrispondenza della base dell’armadio devono essere presenti almeno n.4 piedini regolabili in altezza. L’armadio deve essere dotato di chiusura con cilindro estraibile fornito di doppia chiave pieghevole antinfortunistica, di maniglie “a ponte” o “a gola cava” verticale, di cerniere con fissaggio rapido a camma regolabili con apertura ad almeno 110°. Il modulo è completo di n.1-2 ripiani in legno truciolare ad alta densità (classe E1) Le finiture sono da definire in relazione ad una rosa di colori proposta e devono essere coordinate alle scrivanie operative OPR 01, OPR 02, alla cassettiera operativa OPR 04, e agli armadi operativi OPR 05, OPR 06. Il prezzo unitario remunera altresì il trasporto, il tiro in alto, il montaggio, lo smaltimento imballaggi e ogni onere e magistero per fornire il prodotto installato a perfetta regola d’arte.</w:t>
            </w:r>
          </w:p>
        </w:tc>
        <w:tc>
          <w:tcPr>
            <w:tcW w:w="307" w:type="pct"/>
            <w:vAlign w:val="bottom"/>
          </w:tcPr>
          <w:p w14:paraId="2E3E27D1"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683" w:type="pct"/>
            <w:vAlign w:val="bottom"/>
          </w:tcPr>
          <w:p w14:paraId="218A4E13"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384,80 €</w:t>
            </w:r>
          </w:p>
        </w:tc>
      </w:tr>
    </w:tbl>
    <w:p w14:paraId="4F281287" w14:textId="77777777" w:rsidR="00F65CA5" w:rsidRPr="00942059" w:rsidRDefault="00F65CA5">
      <w:r w:rsidRPr="00942059">
        <w:br w:type="page"/>
      </w:r>
    </w:p>
    <w:tbl>
      <w:tblPr>
        <w:tblStyle w:val="Grigliatabella"/>
        <w:tblW w:w="5000" w:type="pct"/>
        <w:tblLook w:val="04A0" w:firstRow="1" w:lastRow="0" w:firstColumn="1" w:lastColumn="0" w:noHBand="0" w:noVBand="1"/>
      </w:tblPr>
      <w:tblGrid>
        <w:gridCol w:w="1750"/>
        <w:gridCol w:w="9700"/>
        <w:gridCol w:w="877"/>
        <w:gridCol w:w="1950"/>
      </w:tblGrid>
      <w:tr w:rsidR="00F65CA5" w:rsidRPr="00942059" w14:paraId="0CFCC2DD" w14:textId="77777777" w:rsidTr="00944568">
        <w:trPr>
          <w:trHeight w:val="567"/>
        </w:trPr>
        <w:tc>
          <w:tcPr>
            <w:tcW w:w="613" w:type="pct"/>
            <w:shd w:val="clear" w:color="auto" w:fill="E7E6E6" w:themeFill="background2"/>
            <w:vAlign w:val="center"/>
          </w:tcPr>
          <w:p w14:paraId="3DAD1BD6" w14:textId="77777777" w:rsidR="00F65CA5" w:rsidRPr="00942059" w:rsidRDefault="00F65CA5" w:rsidP="00944568">
            <w:pPr>
              <w:jc w:val="center"/>
              <w:rPr>
                <w:rFonts w:ascii="Titillium" w:hAnsi="Titillium"/>
                <w:b/>
                <w:bCs/>
                <w:sz w:val="20"/>
                <w:szCs w:val="18"/>
              </w:rPr>
            </w:pPr>
            <w:r w:rsidRPr="00942059">
              <w:rPr>
                <w:rFonts w:ascii="Titillium" w:hAnsi="Titillium"/>
                <w:b/>
                <w:bCs/>
                <w:sz w:val="20"/>
                <w:szCs w:val="18"/>
              </w:rPr>
              <w:lastRenderedPageBreak/>
              <w:t>Codice</w:t>
            </w:r>
          </w:p>
        </w:tc>
        <w:tc>
          <w:tcPr>
            <w:tcW w:w="3397" w:type="pct"/>
            <w:shd w:val="clear" w:color="auto" w:fill="E7E6E6" w:themeFill="background2"/>
            <w:vAlign w:val="center"/>
          </w:tcPr>
          <w:p w14:paraId="3511C154" w14:textId="77777777" w:rsidR="00F65CA5" w:rsidRPr="00942059" w:rsidRDefault="00F65CA5" w:rsidP="00944568">
            <w:pPr>
              <w:jc w:val="center"/>
              <w:rPr>
                <w:rFonts w:ascii="Titillium" w:hAnsi="Titillium"/>
                <w:b/>
                <w:bCs/>
                <w:sz w:val="20"/>
                <w:szCs w:val="18"/>
              </w:rPr>
            </w:pPr>
            <w:r w:rsidRPr="00942059">
              <w:rPr>
                <w:rFonts w:ascii="Titillium" w:hAnsi="Titillium"/>
                <w:b/>
                <w:bCs/>
                <w:sz w:val="20"/>
                <w:szCs w:val="18"/>
              </w:rPr>
              <w:t>DESCRIZIONE COMPLETA DEGLI ARREDI</w:t>
            </w:r>
          </w:p>
        </w:tc>
        <w:tc>
          <w:tcPr>
            <w:tcW w:w="307" w:type="pct"/>
            <w:shd w:val="clear" w:color="auto" w:fill="E7E6E6" w:themeFill="background2"/>
            <w:vAlign w:val="center"/>
          </w:tcPr>
          <w:p w14:paraId="053279CD" w14:textId="77777777" w:rsidR="00F65CA5" w:rsidRPr="00942059" w:rsidRDefault="00F65CA5" w:rsidP="00944568">
            <w:pPr>
              <w:jc w:val="center"/>
              <w:rPr>
                <w:rFonts w:ascii="Titillium" w:hAnsi="Titillium"/>
                <w:b/>
                <w:bCs/>
                <w:sz w:val="20"/>
                <w:szCs w:val="18"/>
              </w:rPr>
            </w:pPr>
            <w:r w:rsidRPr="00942059">
              <w:rPr>
                <w:rFonts w:ascii="Titillium" w:hAnsi="Titillium"/>
                <w:b/>
                <w:bCs/>
                <w:sz w:val="20"/>
                <w:szCs w:val="18"/>
              </w:rPr>
              <w:t>U.M.</w:t>
            </w:r>
          </w:p>
        </w:tc>
        <w:tc>
          <w:tcPr>
            <w:tcW w:w="683" w:type="pct"/>
            <w:shd w:val="clear" w:color="auto" w:fill="E7E6E6" w:themeFill="background2"/>
            <w:vAlign w:val="center"/>
          </w:tcPr>
          <w:p w14:paraId="7C776F7B" w14:textId="77777777" w:rsidR="00F65CA5" w:rsidRPr="00942059" w:rsidRDefault="00F65CA5" w:rsidP="00944568">
            <w:pPr>
              <w:jc w:val="center"/>
              <w:rPr>
                <w:rFonts w:ascii="Titillium" w:hAnsi="Titillium"/>
                <w:b/>
                <w:bCs/>
                <w:sz w:val="20"/>
                <w:szCs w:val="18"/>
              </w:rPr>
            </w:pPr>
            <w:r w:rsidRPr="00942059">
              <w:rPr>
                <w:rFonts w:ascii="Titillium" w:hAnsi="Titillium"/>
                <w:b/>
                <w:bCs/>
                <w:sz w:val="20"/>
                <w:szCs w:val="18"/>
              </w:rPr>
              <w:t>Prezzo Unitario (€)</w:t>
            </w:r>
          </w:p>
        </w:tc>
      </w:tr>
      <w:tr w:rsidR="00F65CA5" w:rsidRPr="00942059" w14:paraId="2B8F6FAC" w14:textId="77777777" w:rsidTr="00944568">
        <w:trPr>
          <w:trHeight w:val="567"/>
        </w:trPr>
        <w:tc>
          <w:tcPr>
            <w:tcW w:w="5000" w:type="pct"/>
            <w:gridSpan w:val="4"/>
            <w:shd w:val="clear" w:color="auto" w:fill="auto"/>
            <w:vAlign w:val="center"/>
          </w:tcPr>
          <w:p w14:paraId="57CC5174" w14:textId="77777777" w:rsidR="00F65CA5" w:rsidRPr="00942059" w:rsidRDefault="00F65CA5" w:rsidP="00944568">
            <w:pPr>
              <w:rPr>
                <w:rFonts w:ascii="Titillium" w:hAnsi="Titillium"/>
                <w:b/>
                <w:bCs/>
              </w:rPr>
            </w:pPr>
            <w:r w:rsidRPr="00942059">
              <w:rPr>
                <w:rFonts w:ascii="Titillium" w:hAnsi="Titillium"/>
                <w:b/>
                <w:bCs/>
              </w:rPr>
              <w:t>Arredi per Ufficio Responsabile*</w:t>
            </w:r>
          </w:p>
          <w:p w14:paraId="545DBFAF" w14:textId="77777777" w:rsidR="00F65CA5" w:rsidRPr="00942059" w:rsidRDefault="00F65CA5" w:rsidP="00944568">
            <w:pPr>
              <w:rPr>
                <w:rFonts w:ascii="Titillium" w:hAnsi="Titillium"/>
                <w:b/>
                <w:bCs/>
              </w:rPr>
            </w:pPr>
            <w:r w:rsidRPr="00942059">
              <w:rPr>
                <w:rFonts w:ascii="Titillium" w:hAnsi="Titillium"/>
                <w:b/>
                <w:bCs/>
                <w:sz w:val="16"/>
                <w:szCs w:val="16"/>
              </w:rPr>
              <w:t>*</w:t>
            </w:r>
            <w:r w:rsidRPr="00942059">
              <w:rPr>
                <w:rFonts w:ascii="Titillium" w:hAnsi="Titillium"/>
                <w:b/>
                <w:bCs/>
                <w:i/>
                <w:iCs/>
                <w:sz w:val="16"/>
                <w:szCs w:val="16"/>
              </w:rPr>
              <w:t>Tutte le forniture appartenenti a questa area dovranno essere coordinate in termini di materiali e finiture.</w:t>
            </w:r>
          </w:p>
        </w:tc>
      </w:tr>
      <w:tr w:rsidR="003E02B6" w:rsidRPr="00942059" w14:paraId="5741AF78" w14:textId="77777777" w:rsidTr="003E02B6">
        <w:trPr>
          <w:trHeight w:val="414"/>
        </w:trPr>
        <w:tc>
          <w:tcPr>
            <w:tcW w:w="613" w:type="pct"/>
          </w:tcPr>
          <w:p w14:paraId="65D56572" w14:textId="165ED542" w:rsidR="003E02B6" w:rsidRPr="00942059" w:rsidRDefault="003E02B6" w:rsidP="00944568">
            <w:pPr>
              <w:rPr>
                <w:rFonts w:ascii="Titillium" w:hAnsi="Titillium"/>
                <w:b/>
                <w:bCs/>
                <w:sz w:val="20"/>
                <w:szCs w:val="18"/>
              </w:rPr>
            </w:pPr>
            <w:r w:rsidRPr="00942059">
              <w:rPr>
                <w:rFonts w:ascii="Titillium" w:hAnsi="Titillium"/>
                <w:b/>
                <w:bCs/>
                <w:sz w:val="20"/>
                <w:szCs w:val="18"/>
              </w:rPr>
              <w:t>OPR 08</w:t>
            </w:r>
          </w:p>
        </w:tc>
        <w:tc>
          <w:tcPr>
            <w:tcW w:w="3397" w:type="pct"/>
          </w:tcPr>
          <w:p w14:paraId="46A1B5E8"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armadio basso operativo delle dimensioni di circa cm 90x42-47x70-85 (</w:t>
            </w:r>
            <w:proofErr w:type="spellStart"/>
            <w:r w:rsidRPr="00942059">
              <w:rPr>
                <w:rFonts w:ascii="Titillium" w:hAnsi="Titillium"/>
                <w:sz w:val="18"/>
                <w:szCs w:val="18"/>
              </w:rPr>
              <w:t>LxPxH</w:t>
            </w:r>
            <w:proofErr w:type="spellEnd"/>
            <w:r w:rsidRPr="00942059">
              <w:rPr>
                <w:rFonts w:ascii="Titillium" w:hAnsi="Titillium"/>
                <w:sz w:val="18"/>
                <w:szCs w:val="18"/>
              </w:rPr>
              <w:t>), su ruote pivotanti, con doppia anta a battente. La struttura, le ante e i ripiani devono essere in pannelli in legno realizzati in truciolare ad alta densità (classe E1), bordati e con raggio di curvatura pari ad almeno mm 2, con rivestimento su ambo i lati in nobilitato melaminico. In corrispondenza della base dell’armadio devono essere presenti almeno n.4 piedini regolabili in altezza. L’armadio deve essere dotato di chiusura con cilindro estraibile fornito di doppia chiave pieghevole antinfortunistica, di maniglie “a ponte” o “a gola cava” verticale, di cerniere con fissaggio rapido a camma regolabili con apertura ad almeno 110°. Il modulo è completo di n.1-2 ripiani in legno truciolare ad alta densità (classe E1). Le finiture sono da definire in relazione ad una rosa di colori proposta e devono essere coordinate alle scrivanie operative OPR 01, OPR 02, alla cassettiera operativa OPR 04, agli armadi operativi OPR 05, OPR 06, OPR 07. Il prezzo unitario remunera altresì il trasporto, il tiro in alto, il montaggio, lo smaltimento imballaggi e ogni onere e magistero per fornire il prodotto installato a perfetta regola d’arte.</w:t>
            </w:r>
          </w:p>
        </w:tc>
        <w:tc>
          <w:tcPr>
            <w:tcW w:w="307" w:type="pct"/>
            <w:vAlign w:val="bottom"/>
          </w:tcPr>
          <w:p w14:paraId="44CC69E9"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683" w:type="pct"/>
            <w:vAlign w:val="bottom"/>
          </w:tcPr>
          <w:p w14:paraId="7107E74F"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296,00 €</w:t>
            </w:r>
          </w:p>
        </w:tc>
      </w:tr>
      <w:tr w:rsidR="003E02B6" w:rsidRPr="00942059" w14:paraId="5600A83E" w14:textId="77777777" w:rsidTr="003E02B6">
        <w:trPr>
          <w:trHeight w:val="800"/>
        </w:trPr>
        <w:tc>
          <w:tcPr>
            <w:tcW w:w="613" w:type="pct"/>
          </w:tcPr>
          <w:p w14:paraId="0DF56C7B" w14:textId="77777777" w:rsidR="003E02B6" w:rsidRPr="00942059" w:rsidRDefault="003E02B6" w:rsidP="00944568">
            <w:pPr>
              <w:rPr>
                <w:rFonts w:ascii="Titillium" w:hAnsi="Titillium"/>
                <w:sz w:val="20"/>
                <w:szCs w:val="18"/>
              </w:rPr>
            </w:pPr>
            <w:r w:rsidRPr="00942059">
              <w:rPr>
                <w:rFonts w:ascii="Titillium" w:hAnsi="Titillium"/>
                <w:b/>
                <w:bCs/>
                <w:sz w:val="20"/>
                <w:szCs w:val="18"/>
              </w:rPr>
              <w:t>OPR 09</w:t>
            </w:r>
          </w:p>
        </w:tc>
        <w:tc>
          <w:tcPr>
            <w:tcW w:w="3397" w:type="pct"/>
          </w:tcPr>
          <w:p w14:paraId="1B4F7504"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appendiabiti a stelo con portaombrelli, caratterizzato da una piantana, da uno stelo in acciaio verniciato a polveri epossidiche dotato di ganci portabiti, di portaombrelli e di vaschetta di raccolta dell’acqua. Le finiture sono da definire in relazione ad una rosa di colori proposta. Il prezzo unitario remunera altresì il trasporto, il tiro in alto, il montaggio, lo smaltimento imballaggi e ogni onere e magistero per fornire il prodotto installato a perfetta regola d’arte.</w:t>
            </w:r>
          </w:p>
        </w:tc>
        <w:tc>
          <w:tcPr>
            <w:tcW w:w="307" w:type="pct"/>
            <w:vAlign w:val="bottom"/>
          </w:tcPr>
          <w:p w14:paraId="5248D51F"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683" w:type="pct"/>
            <w:vAlign w:val="bottom"/>
          </w:tcPr>
          <w:p w14:paraId="4F24E8B8"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98,90 €</w:t>
            </w:r>
          </w:p>
        </w:tc>
      </w:tr>
    </w:tbl>
    <w:p w14:paraId="724344B6" w14:textId="77777777" w:rsidR="003E02B6" w:rsidRPr="00942059" w:rsidRDefault="003E02B6" w:rsidP="003E02B6">
      <w:pPr>
        <w:rPr>
          <w:rFonts w:ascii="Titillium" w:hAnsi="Titillium"/>
        </w:rPr>
      </w:pPr>
    </w:p>
    <w:p w14:paraId="15488431" w14:textId="77777777" w:rsidR="00F65CA5" w:rsidRPr="00942059" w:rsidRDefault="00F65CA5">
      <w:r w:rsidRPr="00942059">
        <w:br w:type="page"/>
      </w:r>
    </w:p>
    <w:tbl>
      <w:tblPr>
        <w:tblStyle w:val="Grigliatabella"/>
        <w:tblW w:w="5000" w:type="pct"/>
        <w:tblLook w:val="04A0" w:firstRow="1" w:lastRow="0" w:firstColumn="1" w:lastColumn="0" w:noHBand="0" w:noVBand="1"/>
      </w:tblPr>
      <w:tblGrid>
        <w:gridCol w:w="1830"/>
        <w:gridCol w:w="9463"/>
        <w:gridCol w:w="957"/>
        <w:gridCol w:w="2027"/>
      </w:tblGrid>
      <w:tr w:rsidR="003E02B6" w:rsidRPr="00942059" w14:paraId="2B7593E6" w14:textId="77777777" w:rsidTr="00944568">
        <w:trPr>
          <w:trHeight w:val="567"/>
        </w:trPr>
        <w:tc>
          <w:tcPr>
            <w:tcW w:w="641" w:type="pct"/>
            <w:shd w:val="clear" w:color="auto" w:fill="E7E6E6" w:themeFill="background2"/>
            <w:vAlign w:val="center"/>
          </w:tcPr>
          <w:p w14:paraId="19AFF36E" w14:textId="27F8F7D6"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lastRenderedPageBreak/>
              <w:t>Codice</w:t>
            </w:r>
          </w:p>
        </w:tc>
        <w:tc>
          <w:tcPr>
            <w:tcW w:w="3314" w:type="pct"/>
            <w:shd w:val="clear" w:color="auto" w:fill="E7E6E6" w:themeFill="background2"/>
            <w:vAlign w:val="center"/>
          </w:tcPr>
          <w:p w14:paraId="0E1A7970" w14:textId="777777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t>DESCRIZIONE COMPLETA DEGLI ARREDI</w:t>
            </w:r>
          </w:p>
        </w:tc>
        <w:tc>
          <w:tcPr>
            <w:tcW w:w="335" w:type="pct"/>
            <w:shd w:val="clear" w:color="auto" w:fill="E7E6E6" w:themeFill="background2"/>
            <w:vAlign w:val="center"/>
          </w:tcPr>
          <w:p w14:paraId="28B17330" w14:textId="777777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t>U.M.</w:t>
            </w:r>
          </w:p>
        </w:tc>
        <w:tc>
          <w:tcPr>
            <w:tcW w:w="710" w:type="pct"/>
            <w:shd w:val="clear" w:color="auto" w:fill="E7E6E6" w:themeFill="background2"/>
            <w:vAlign w:val="center"/>
          </w:tcPr>
          <w:p w14:paraId="3A9CC670" w14:textId="77777777" w:rsidR="003E02B6" w:rsidRPr="00942059" w:rsidRDefault="003E02B6" w:rsidP="00F65CA5">
            <w:pPr>
              <w:jc w:val="center"/>
              <w:rPr>
                <w:rFonts w:ascii="Titillium" w:hAnsi="Titillium"/>
                <w:b/>
                <w:bCs/>
                <w:sz w:val="20"/>
                <w:szCs w:val="18"/>
              </w:rPr>
            </w:pPr>
            <w:r w:rsidRPr="00942059">
              <w:rPr>
                <w:rFonts w:ascii="Titillium" w:hAnsi="Titillium"/>
                <w:b/>
                <w:bCs/>
                <w:sz w:val="20"/>
                <w:szCs w:val="18"/>
              </w:rPr>
              <w:t>Prezzo Unitario (€)</w:t>
            </w:r>
          </w:p>
        </w:tc>
      </w:tr>
      <w:tr w:rsidR="003E02B6" w:rsidRPr="00942059" w14:paraId="1AF04EF4" w14:textId="77777777" w:rsidTr="00944568">
        <w:trPr>
          <w:trHeight w:val="567"/>
        </w:trPr>
        <w:tc>
          <w:tcPr>
            <w:tcW w:w="5000" w:type="pct"/>
            <w:gridSpan w:val="4"/>
            <w:shd w:val="clear" w:color="auto" w:fill="auto"/>
            <w:vAlign w:val="center"/>
          </w:tcPr>
          <w:p w14:paraId="58B7B6E5" w14:textId="73F09F53" w:rsidR="003E02B6" w:rsidRPr="00942059" w:rsidRDefault="003E02B6" w:rsidP="00944568">
            <w:pPr>
              <w:rPr>
                <w:rFonts w:ascii="Titillium" w:hAnsi="Titillium"/>
                <w:b/>
                <w:bCs/>
              </w:rPr>
            </w:pPr>
            <w:r w:rsidRPr="00942059">
              <w:rPr>
                <w:rFonts w:ascii="Titillium" w:hAnsi="Titillium"/>
                <w:b/>
                <w:bCs/>
              </w:rPr>
              <w:t>Arredi per Sal</w:t>
            </w:r>
            <w:r w:rsidR="00F65CA5" w:rsidRPr="00942059">
              <w:rPr>
                <w:rFonts w:ascii="Titillium" w:hAnsi="Titillium"/>
                <w:b/>
                <w:bCs/>
              </w:rPr>
              <w:t>e</w:t>
            </w:r>
            <w:r w:rsidRPr="00942059">
              <w:rPr>
                <w:rFonts w:ascii="Titillium" w:hAnsi="Titillium"/>
                <w:b/>
                <w:bCs/>
              </w:rPr>
              <w:t xml:space="preserve"> Riunioni </w:t>
            </w:r>
          </w:p>
        </w:tc>
      </w:tr>
      <w:tr w:rsidR="003E02B6" w:rsidRPr="00942059" w14:paraId="46701705" w14:textId="77777777" w:rsidTr="00944568">
        <w:trPr>
          <w:trHeight w:val="556"/>
        </w:trPr>
        <w:tc>
          <w:tcPr>
            <w:tcW w:w="641" w:type="pct"/>
          </w:tcPr>
          <w:p w14:paraId="10119F5D" w14:textId="77777777" w:rsidR="003E02B6" w:rsidRPr="00942059" w:rsidRDefault="003E02B6" w:rsidP="00944568">
            <w:pPr>
              <w:rPr>
                <w:rFonts w:ascii="Titillium" w:hAnsi="Titillium"/>
                <w:sz w:val="20"/>
                <w:szCs w:val="18"/>
              </w:rPr>
            </w:pPr>
            <w:r w:rsidRPr="00942059">
              <w:rPr>
                <w:rFonts w:ascii="Titillium" w:hAnsi="Titillium"/>
                <w:b/>
                <w:bCs/>
                <w:sz w:val="20"/>
                <w:szCs w:val="18"/>
              </w:rPr>
              <w:t>RIU 01</w:t>
            </w:r>
          </w:p>
        </w:tc>
        <w:tc>
          <w:tcPr>
            <w:tcW w:w="3314" w:type="pct"/>
          </w:tcPr>
          <w:p w14:paraId="0F1B7985"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tavolo riunione operativo circolare delle dimensioni pari a circa cm 80x70-75 (</w:t>
            </w:r>
            <w:proofErr w:type="spellStart"/>
            <w:r w:rsidRPr="00942059">
              <w:rPr>
                <w:rFonts w:ascii="Titillium" w:hAnsi="Titillium"/>
                <w:sz w:val="18"/>
                <w:szCs w:val="18"/>
              </w:rPr>
              <w:t>DxH</w:t>
            </w:r>
            <w:proofErr w:type="spellEnd"/>
            <w:r w:rsidRPr="00942059">
              <w:rPr>
                <w:rFonts w:ascii="Titillium" w:hAnsi="Titillium"/>
                <w:sz w:val="18"/>
                <w:szCs w:val="18"/>
              </w:rPr>
              <w:t xml:space="preserve">), avente piano in legno realizzato in truciolare (classe E1), spessore a partire da mm 25, con rivestimento su ambo i lati in nobilitato melaminico, antiriflesso e antigraffio, bordato con uno spessore pari a circa mm 2. Il piano deve essere dotato di uno sportello passacavi in alluminio opaco dotato di spazzola posto al centro del piano di lavoro (ad es. </w:t>
            </w:r>
            <w:r w:rsidRPr="00942059">
              <w:rPr>
                <w:rFonts w:ascii="Titillium" w:hAnsi="Titillium"/>
                <w:i/>
                <w:iCs/>
                <w:sz w:val="18"/>
                <w:szCs w:val="18"/>
              </w:rPr>
              <w:t>top access</w:t>
            </w:r>
            <w:r w:rsidRPr="00942059">
              <w:rPr>
                <w:rFonts w:ascii="Titillium" w:hAnsi="Titillium"/>
                <w:sz w:val="18"/>
                <w:szCs w:val="18"/>
              </w:rPr>
              <w:t>). La struttura deve essere in acciaio cromato, o in alluminio lucido, o in alluminio verniciato a polveri epossidiche. Le finiture sono da definire in relazione ad una rosa di colori proposta. Il prezzo unitario remunera altresì il trasporto, il tiro in alto, il montaggio, lo smaltimento imballaggi e ogni onere e magistero per fornire il prodotto installato a perfetta regola d’arte.</w:t>
            </w:r>
          </w:p>
        </w:tc>
        <w:tc>
          <w:tcPr>
            <w:tcW w:w="335" w:type="pct"/>
            <w:vAlign w:val="bottom"/>
          </w:tcPr>
          <w:p w14:paraId="2C11A8C7"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10" w:type="pct"/>
            <w:vAlign w:val="bottom"/>
          </w:tcPr>
          <w:p w14:paraId="3C849C61" w14:textId="77777777" w:rsidR="003E02B6" w:rsidRPr="00942059" w:rsidRDefault="003E02B6" w:rsidP="00944568">
            <w:pPr>
              <w:jc w:val="right"/>
              <w:rPr>
                <w:rFonts w:ascii="Titillium" w:hAnsi="Titillium"/>
                <w:b/>
                <w:bCs/>
                <w:sz w:val="18"/>
                <w:szCs w:val="18"/>
              </w:rPr>
            </w:pPr>
            <w:r w:rsidRPr="00942059">
              <w:rPr>
                <w:rFonts w:ascii="Titillium" w:hAnsi="Titillium"/>
                <w:sz w:val="18"/>
                <w:szCs w:val="18"/>
              </w:rPr>
              <w:t>348,77 €</w:t>
            </w:r>
          </w:p>
        </w:tc>
      </w:tr>
      <w:tr w:rsidR="003E02B6" w:rsidRPr="00942059" w14:paraId="2C1C4EAE" w14:textId="77777777" w:rsidTr="00944568">
        <w:trPr>
          <w:trHeight w:val="1134"/>
        </w:trPr>
        <w:tc>
          <w:tcPr>
            <w:tcW w:w="641" w:type="pct"/>
          </w:tcPr>
          <w:p w14:paraId="552FF63A" w14:textId="77777777" w:rsidR="003E02B6" w:rsidRPr="00942059" w:rsidRDefault="003E02B6" w:rsidP="00944568">
            <w:pPr>
              <w:rPr>
                <w:rFonts w:ascii="Titillium" w:hAnsi="Titillium"/>
                <w:b/>
                <w:bCs/>
                <w:sz w:val="20"/>
                <w:szCs w:val="18"/>
              </w:rPr>
            </w:pPr>
            <w:r w:rsidRPr="00942059">
              <w:rPr>
                <w:rFonts w:ascii="Titillium" w:hAnsi="Titillium"/>
                <w:b/>
                <w:bCs/>
                <w:sz w:val="20"/>
                <w:szCs w:val="18"/>
              </w:rPr>
              <w:t>RIU 02</w:t>
            </w:r>
          </w:p>
        </w:tc>
        <w:tc>
          <w:tcPr>
            <w:tcW w:w="3314" w:type="pct"/>
          </w:tcPr>
          <w:p w14:paraId="2C05FFFD"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tavolo riunione direzionale circolare delle dimensioni pari a circa pari a cm 120-140 x 70-75 (</w:t>
            </w:r>
            <w:proofErr w:type="spellStart"/>
            <w:r w:rsidRPr="00942059">
              <w:rPr>
                <w:rFonts w:ascii="Titillium" w:hAnsi="Titillium"/>
                <w:sz w:val="18"/>
                <w:szCs w:val="18"/>
              </w:rPr>
              <w:t>DxH</w:t>
            </w:r>
            <w:proofErr w:type="spellEnd"/>
            <w:r w:rsidRPr="00942059">
              <w:rPr>
                <w:rFonts w:ascii="Titillium" w:hAnsi="Titillium"/>
                <w:sz w:val="18"/>
                <w:szCs w:val="18"/>
              </w:rPr>
              <w:t xml:space="preserve">), avente piano in vetro temperato (trasparente o retro laccato). Dotato di n.3-4 gambe in acciaio cromato, o in alluminio lucido, o in alluminio verniciato a polveri epossidiche. Provvisto di apposita canalizzazione dei cavi verticale (ad. es. vertebra) e preferibilmente orizzontale attraverso di uno sportello passacavi in alluminio opaco dotato di spazzola posto al centro del piano di lavoro (ad es. </w:t>
            </w:r>
            <w:r w:rsidRPr="00942059">
              <w:rPr>
                <w:rFonts w:ascii="Titillium" w:hAnsi="Titillium"/>
                <w:i/>
                <w:iCs/>
                <w:sz w:val="18"/>
                <w:szCs w:val="18"/>
              </w:rPr>
              <w:t>top access</w:t>
            </w:r>
            <w:r w:rsidRPr="00942059">
              <w:rPr>
                <w:rFonts w:ascii="Titillium" w:hAnsi="Titillium"/>
                <w:sz w:val="18"/>
                <w:szCs w:val="18"/>
              </w:rPr>
              <w:t>). Le finiture sono da definire in relazione ad una rosa di colori proposta. Il prezzo unitario remunera altresì il trasporto, il tiro in alto, il montaggio, lo smaltimento imballaggi e ogni onere e magistero per fornire il prodotto installato a perfetta regola d’arte.</w:t>
            </w:r>
          </w:p>
        </w:tc>
        <w:tc>
          <w:tcPr>
            <w:tcW w:w="335" w:type="pct"/>
            <w:vAlign w:val="bottom"/>
          </w:tcPr>
          <w:p w14:paraId="7D3A5C7B"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10" w:type="pct"/>
            <w:vAlign w:val="bottom"/>
          </w:tcPr>
          <w:p w14:paraId="42FAD724"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1.230,94 €</w:t>
            </w:r>
          </w:p>
        </w:tc>
      </w:tr>
    </w:tbl>
    <w:p w14:paraId="28C67D0D" w14:textId="77777777" w:rsidR="00F65CA5" w:rsidRPr="00942059" w:rsidRDefault="00F65CA5">
      <w:r w:rsidRPr="00942059">
        <w:br w:type="page"/>
      </w:r>
    </w:p>
    <w:tbl>
      <w:tblPr>
        <w:tblStyle w:val="Grigliatabella"/>
        <w:tblW w:w="5000" w:type="pct"/>
        <w:tblLook w:val="04A0" w:firstRow="1" w:lastRow="0" w:firstColumn="1" w:lastColumn="0" w:noHBand="0" w:noVBand="1"/>
      </w:tblPr>
      <w:tblGrid>
        <w:gridCol w:w="1830"/>
        <w:gridCol w:w="9463"/>
        <w:gridCol w:w="957"/>
        <w:gridCol w:w="2027"/>
      </w:tblGrid>
      <w:tr w:rsidR="00F65CA5" w:rsidRPr="00942059" w14:paraId="0F4549E5" w14:textId="77777777" w:rsidTr="00944568">
        <w:trPr>
          <w:trHeight w:val="567"/>
        </w:trPr>
        <w:tc>
          <w:tcPr>
            <w:tcW w:w="641" w:type="pct"/>
            <w:shd w:val="clear" w:color="auto" w:fill="E7E6E6" w:themeFill="background2"/>
            <w:vAlign w:val="center"/>
          </w:tcPr>
          <w:p w14:paraId="1EAF3DFA" w14:textId="77777777" w:rsidR="00F65CA5" w:rsidRPr="00942059" w:rsidRDefault="00F65CA5" w:rsidP="00944568">
            <w:pPr>
              <w:jc w:val="center"/>
              <w:rPr>
                <w:rFonts w:ascii="Titillium" w:hAnsi="Titillium"/>
                <w:b/>
                <w:bCs/>
                <w:sz w:val="20"/>
                <w:szCs w:val="18"/>
              </w:rPr>
            </w:pPr>
            <w:r w:rsidRPr="00942059">
              <w:rPr>
                <w:rFonts w:ascii="Titillium" w:hAnsi="Titillium"/>
                <w:b/>
                <w:bCs/>
                <w:sz w:val="20"/>
                <w:szCs w:val="18"/>
              </w:rPr>
              <w:lastRenderedPageBreak/>
              <w:t>Codice</w:t>
            </w:r>
          </w:p>
        </w:tc>
        <w:tc>
          <w:tcPr>
            <w:tcW w:w="3314" w:type="pct"/>
            <w:shd w:val="clear" w:color="auto" w:fill="E7E6E6" w:themeFill="background2"/>
            <w:vAlign w:val="center"/>
          </w:tcPr>
          <w:p w14:paraId="43E95E50" w14:textId="77777777" w:rsidR="00F65CA5" w:rsidRPr="00942059" w:rsidRDefault="00F65CA5" w:rsidP="00944568">
            <w:pPr>
              <w:jc w:val="center"/>
              <w:rPr>
                <w:rFonts w:ascii="Titillium" w:hAnsi="Titillium"/>
                <w:b/>
                <w:bCs/>
                <w:sz w:val="20"/>
                <w:szCs w:val="18"/>
              </w:rPr>
            </w:pPr>
            <w:r w:rsidRPr="00942059">
              <w:rPr>
                <w:rFonts w:ascii="Titillium" w:hAnsi="Titillium"/>
                <w:b/>
                <w:bCs/>
                <w:sz w:val="20"/>
                <w:szCs w:val="18"/>
              </w:rPr>
              <w:t>DESCRIZIONE COMPLETA DEGLI ARREDI</w:t>
            </w:r>
          </w:p>
        </w:tc>
        <w:tc>
          <w:tcPr>
            <w:tcW w:w="335" w:type="pct"/>
            <w:shd w:val="clear" w:color="auto" w:fill="E7E6E6" w:themeFill="background2"/>
            <w:vAlign w:val="center"/>
          </w:tcPr>
          <w:p w14:paraId="6AD3E945" w14:textId="77777777" w:rsidR="00F65CA5" w:rsidRPr="00942059" w:rsidRDefault="00F65CA5" w:rsidP="00944568">
            <w:pPr>
              <w:jc w:val="center"/>
              <w:rPr>
                <w:rFonts w:ascii="Titillium" w:hAnsi="Titillium"/>
                <w:b/>
                <w:bCs/>
                <w:sz w:val="20"/>
                <w:szCs w:val="18"/>
              </w:rPr>
            </w:pPr>
            <w:r w:rsidRPr="00942059">
              <w:rPr>
                <w:rFonts w:ascii="Titillium" w:hAnsi="Titillium"/>
                <w:b/>
                <w:bCs/>
                <w:sz w:val="20"/>
                <w:szCs w:val="18"/>
              </w:rPr>
              <w:t>U.M.</w:t>
            </w:r>
          </w:p>
        </w:tc>
        <w:tc>
          <w:tcPr>
            <w:tcW w:w="710" w:type="pct"/>
            <w:shd w:val="clear" w:color="auto" w:fill="E7E6E6" w:themeFill="background2"/>
            <w:vAlign w:val="center"/>
          </w:tcPr>
          <w:p w14:paraId="5EA8DD79" w14:textId="77777777" w:rsidR="00F65CA5" w:rsidRPr="00942059" w:rsidRDefault="00F65CA5" w:rsidP="00944568">
            <w:pPr>
              <w:jc w:val="center"/>
              <w:rPr>
                <w:rFonts w:ascii="Titillium" w:hAnsi="Titillium"/>
                <w:b/>
                <w:bCs/>
                <w:sz w:val="20"/>
                <w:szCs w:val="18"/>
              </w:rPr>
            </w:pPr>
            <w:r w:rsidRPr="00942059">
              <w:rPr>
                <w:rFonts w:ascii="Titillium" w:hAnsi="Titillium"/>
                <w:b/>
                <w:bCs/>
                <w:sz w:val="20"/>
                <w:szCs w:val="18"/>
              </w:rPr>
              <w:t>Prezzo Unitario (€)</w:t>
            </w:r>
          </w:p>
        </w:tc>
      </w:tr>
      <w:tr w:rsidR="00F65CA5" w:rsidRPr="00942059" w14:paraId="11EA4D9D" w14:textId="77777777" w:rsidTr="00944568">
        <w:trPr>
          <w:trHeight w:val="567"/>
        </w:trPr>
        <w:tc>
          <w:tcPr>
            <w:tcW w:w="5000" w:type="pct"/>
            <w:gridSpan w:val="4"/>
            <w:shd w:val="clear" w:color="auto" w:fill="auto"/>
            <w:vAlign w:val="center"/>
          </w:tcPr>
          <w:p w14:paraId="70308EFC" w14:textId="4E83FF4A" w:rsidR="00F65CA5" w:rsidRPr="00942059" w:rsidRDefault="00F65CA5" w:rsidP="00944568">
            <w:pPr>
              <w:rPr>
                <w:rFonts w:ascii="Titillium" w:hAnsi="Titillium"/>
                <w:b/>
                <w:bCs/>
              </w:rPr>
            </w:pPr>
            <w:r w:rsidRPr="00942059">
              <w:rPr>
                <w:rFonts w:ascii="Titillium" w:hAnsi="Titillium"/>
                <w:b/>
                <w:bCs/>
              </w:rPr>
              <w:t>Arredi per Sala Formazione</w:t>
            </w:r>
          </w:p>
        </w:tc>
      </w:tr>
      <w:tr w:rsidR="003E02B6" w:rsidRPr="00942059" w14:paraId="62785356" w14:textId="77777777" w:rsidTr="00944568">
        <w:trPr>
          <w:trHeight w:val="1134"/>
        </w:trPr>
        <w:tc>
          <w:tcPr>
            <w:tcW w:w="641" w:type="pct"/>
          </w:tcPr>
          <w:p w14:paraId="55033171" w14:textId="1A040F2A" w:rsidR="003E02B6" w:rsidRPr="00942059" w:rsidRDefault="003E02B6" w:rsidP="00944568">
            <w:pPr>
              <w:rPr>
                <w:rFonts w:ascii="Titillium" w:hAnsi="Titillium"/>
                <w:b/>
                <w:bCs/>
                <w:sz w:val="20"/>
                <w:szCs w:val="18"/>
              </w:rPr>
            </w:pPr>
            <w:r w:rsidRPr="00942059">
              <w:rPr>
                <w:rFonts w:ascii="Titillium" w:hAnsi="Titillium"/>
                <w:b/>
                <w:bCs/>
                <w:sz w:val="20"/>
                <w:szCs w:val="18"/>
              </w:rPr>
              <w:t>FOR 01</w:t>
            </w:r>
          </w:p>
        </w:tc>
        <w:tc>
          <w:tcPr>
            <w:tcW w:w="3314" w:type="pct"/>
          </w:tcPr>
          <w:p w14:paraId="768C99C8"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tavolo riunione per relatori rettangolare delle dimensioni di circa cm 220-240 x 80-90 x 70-75 (</w:t>
            </w:r>
            <w:proofErr w:type="spellStart"/>
            <w:r w:rsidRPr="00942059">
              <w:rPr>
                <w:rFonts w:ascii="Titillium" w:hAnsi="Titillium"/>
                <w:sz w:val="18"/>
                <w:szCs w:val="18"/>
              </w:rPr>
              <w:t>LxPxH</w:t>
            </w:r>
            <w:proofErr w:type="spellEnd"/>
            <w:r w:rsidRPr="00942059">
              <w:rPr>
                <w:rFonts w:ascii="Titillium" w:hAnsi="Titillium"/>
                <w:sz w:val="18"/>
                <w:szCs w:val="18"/>
              </w:rPr>
              <w:t xml:space="preserve">) avente piano di lavoro in legno realizzato in truciolare (classe E1), spessore a partire da mm 25., con rivestimento su ambo i lati in nobilitato melaminico, antiriflesso e antigraffio. Il piano di lavoro deve essere arrotondato e bordato con uno spessore pari a circa mm 2. La struttura di detto tavolo riunioni, deve soddisfare i requisiti di stabilità, resistenza, durabilità ed eleganza estetica; la struttura può essere realizzata in acciaio cromato, in alluminio lucido, in alluminio verniciato a polveri epossidiche, in legno, etc. Può essere provvisto di un pannello frontale sottostante il piano di lavoro, nonché di apposita canalizzazione dei cavi orizzontale e verticale (a titolo esemplificativo: canalina orizzontale sottostante il piano di lavoro, canalina magnetica verticale collegata alla struttura della scrivania per il passaggio dei cavi, o vertebra, etc.) e di uno sportello passacavi in alluminio opaco dotato di spazzola posto al centro del piano di lavoro (ad es. </w:t>
            </w:r>
            <w:r w:rsidRPr="00942059">
              <w:rPr>
                <w:rFonts w:ascii="Titillium" w:hAnsi="Titillium"/>
                <w:i/>
                <w:iCs/>
                <w:sz w:val="18"/>
                <w:szCs w:val="18"/>
              </w:rPr>
              <w:t>top access</w:t>
            </w:r>
            <w:r w:rsidRPr="00942059">
              <w:rPr>
                <w:rFonts w:ascii="Titillium" w:hAnsi="Titillium"/>
                <w:sz w:val="18"/>
                <w:szCs w:val="18"/>
              </w:rPr>
              <w:t>). Le finiture sono da definire in relazione ad una rosa di colori proposta. Il prezzo unitario remunera altresì il trasporto, il tiro in alto, il montaggio, lo smaltimento imballaggi e ogni onere e magistero per fornire il prodotto installato a perfetta regola d’arte.</w:t>
            </w:r>
          </w:p>
        </w:tc>
        <w:tc>
          <w:tcPr>
            <w:tcW w:w="335" w:type="pct"/>
            <w:vAlign w:val="bottom"/>
          </w:tcPr>
          <w:p w14:paraId="0AF496C7"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10" w:type="pct"/>
            <w:vAlign w:val="bottom"/>
          </w:tcPr>
          <w:p w14:paraId="6449135A"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1.070,72 €</w:t>
            </w:r>
          </w:p>
        </w:tc>
      </w:tr>
      <w:tr w:rsidR="003E02B6" w:rsidRPr="00942059" w14:paraId="3C39969D" w14:textId="77777777" w:rsidTr="00944568">
        <w:trPr>
          <w:trHeight w:val="557"/>
        </w:trPr>
        <w:tc>
          <w:tcPr>
            <w:tcW w:w="641" w:type="pct"/>
          </w:tcPr>
          <w:p w14:paraId="3D21FCCF" w14:textId="77777777" w:rsidR="003E02B6" w:rsidRPr="00942059" w:rsidRDefault="003E02B6" w:rsidP="00944568">
            <w:pPr>
              <w:rPr>
                <w:rFonts w:ascii="Titillium" w:hAnsi="Titillium"/>
                <w:b/>
                <w:bCs/>
                <w:sz w:val="20"/>
                <w:szCs w:val="18"/>
              </w:rPr>
            </w:pPr>
            <w:r w:rsidRPr="00942059">
              <w:rPr>
                <w:rFonts w:ascii="Titillium" w:hAnsi="Titillium"/>
                <w:b/>
                <w:bCs/>
                <w:sz w:val="20"/>
                <w:szCs w:val="18"/>
              </w:rPr>
              <w:t>FOR 02</w:t>
            </w:r>
          </w:p>
        </w:tc>
        <w:tc>
          <w:tcPr>
            <w:tcW w:w="3314" w:type="pct"/>
          </w:tcPr>
          <w:p w14:paraId="5BEC609F"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seduta impilabile con scrittoio. La seduta, con sedile e schienale in polipropilene, può presentare una base c.d. a “slitta” o con n. 4 gambe; le parti in metallo devono essere o in acciaio cromato, o in alluminio lucido, o in alluminio verniciato a polveri epossidiche. La seduta può essere dotata di braccioli fissi, deve presentare uno scrittoio in polipropilene con snodo antipanico, e qualora provvista di imbottitura deve essere rivestita da tessuto ignifugo. La seduta deve inoltre possedere una classe di reazione al fuoco pari a 1IM. Le finiture sono da definire in relazione ad una rosa di colori proposta. Il prezzo unitario remunera altresì il trasporto, il tiro in alto, il montaggio, lo smaltimento imballaggi e ogni onere e magistero per fornire il prodotto installato a perfetta regola d’arte.</w:t>
            </w:r>
          </w:p>
        </w:tc>
        <w:tc>
          <w:tcPr>
            <w:tcW w:w="335" w:type="pct"/>
            <w:vAlign w:val="bottom"/>
          </w:tcPr>
          <w:p w14:paraId="1643A249"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10" w:type="pct"/>
            <w:vAlign w:val="bottom"/>
          </w:tcPr>
          <w:p w14:paraId="3BB57AEC"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272,67 €</w:t>
            </w:r>
          </w:p>
        </w:tc>
      </w:tr>
    </w:tbl>
    <w:p w14:paraId="0853C793" w14:textId="339C1F3A" w:rsidR="00F65CA5" w:rsidRPr="00942059" w:rsidRDefault="00F65CA5" w:rsidP="003E02B6">
      <w:pPr>
        <w:rPr>
          <w:rFonts w:ascii="Titillium" w:hAnsi="Titillium"/>
        </w:rPr>
      </w:pPr>
    </w:p>
    <w:p w14:paraId="0766B99C" w14:textId="77777777" w:rsidR="00F65CA5" w:rsidRPr="00942059" w:rsidRDefault="00F65CA5">
      <w:pPr>
        <w:spacing w:line="240" w:lineRule="auto"/>
        <w:jc w:val="left"/>
        <w:rPr>
          <w:rFonts w:ascii="Titillium" w:hAnsi="Titillium"/>
        </w:rPr>
      </w:pPr>
      <w:r w:rsidRPr="00942059">
        <w:rPr>
          <w:rFonts w:ascii="Titillium" w:hAnsi="Titillium"/>
        </w:rPr>
        <w:br w:type="page"/>
      </w:r>
    </w:p>
    <w:p w14:paraId="047C6785" w14:textId="77777777" w:rsidR="003E02B6" w:rsidRPr="00942059" w:rsidRDefault="003E02B6" w:rsidP="003E02B6">
      <w:pPr>
        <w:rPr>
          <w:rFonts w:ascii="Titillium" w:hAnsi="Titillium"/>
        </w:rPr>
      </w:pPr>
    </w:p>
    <w:tbl>
      <w:tblPr>
        <w:tblStyle w:val="Grigliatabella"/>
        <w:tblW w:w="5000" w:type="pct"/>
        <w:tblLook w:val="04A0" w:firstRow="1" w:lastRow="0" w:firstColumn="1" w:lastColumn="0" w:noHBand="0" w:noVBand="1"/>
      </w:tblPr>
      <w:tblGrid>
        <w:gridCol w:w="1802"/>
        <w:gridCol w:w="9500"/>
        <w:gridCol w:w="851"/>
        <w:gridCol w:w="2124"/>
      </w:tblGrid>
      <w:tr w:rsidR="003E02B6" w:rsidRPr="00942059" w14:paraId="12B5625A" w14:textId="77777777" w:rsidTr="00F65CA5">
        <w:trPr>
          <w:trHeight w:val="567"/>
        </w:trPr>
        <w:tc>
          <w:tcPr>
            <w:tcW w:w="631" w:type="pct"/>
            <w:shd w:val="clear" w:color="auto" w:fill="E7E6E6" w:themeFill="background2"/>
            <w:vAlign w:val="center"/>
          </w:tcPr>
          <w:p w14:paraId="111C1145" w14:textId="777777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t>Codice</w:t>
            </w:r>
          </w:p>
        </w:tc>
        <w:tc>
          <w:tcPr>
            <w:tcW w:w="3327" w:type="pct"/>
            <w:shd w:val="clear" w:color="auto" w:fill="E7E6E6" w:themeFill="background2"/>
            <w:vAlign w:val="center"/>
          </w:tcPr>
          <w:p w14:paraId="7CCF46C0" w14:textId="777777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t>DESCRIZIONE COMPLETA DEGLI ARREDI</w:t>
            </w:r>
          </w:p>
        </w:tc>
        <w:tc>
          <w:tcPr>
            <w:tcW w:w="298" w:type="pct"/>
            <w:shd w:val="clear" w:color="auto" w:fill="E7E6E6" w:themeFill="background2"/>
            <w:vAlign w:val="center"/>
          </w:tcPr>
          <w:p w14:paraId="36DA26EA" w14:textId="777777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t>U.M.</w:t>
            </w:r>
          </w:p>
        </w:tc>
        <w:tc>
          <w:tcPr>
            <w:tcW w:w="744" w:type="pct"/>
            <w:shd w:val="clear" w:color="auto" w:fill="E7E6E6" w:themeFill="background2"/>
            <w:vAlign w:val="center"/>
          </w:tcPr>
          <w:p w14:paraId="6A13BFE3" w14:textId="77777777" w:rsidR="003E02B6" w:rsidRPr="00942059" w:rsidRDefault="003E02B6" w:rsidP="00F65CA5">
            <w:pPr>
              <w:jc w:val="center"/>
              <w:rPr>
                <w:rFonts w:ascii="Titillium" w:hAnsi="Titillium"/>
                <w:b/>
                <w:bCs/>
                <w:sz w:val="20"/>
                <w:szCs w:val="18"/>
              </w:rPr>
            </w:pPr>
            <w:r w:rsidRPr="00942059">
              <w:rPr>
                <w:rFonts w:ascii="Titillium" w:hAnsi="Titillium"/>
                <w:b/>
                <w:bCs/>
                <w:sz w:val="20"/>
                <w:szCs w:val="18"/>
              </w:rPr>
              <w:t>Prezzo Unitario (€)</w:t>
            </w:r>
          </w:p>
        </w:tc>
      </w:tr>
      <w:tr w:rsidR="003E02B6" w:rsidRPr="00942059" w14:paraId="787C9B8A" w14:textId="77777777" w:rsidTr="00944568">
        <w:trPr>
          <w:trHeight w:val="567"/>
        </w:trPr>
        <w:tc>
          <w:tcPr>
            <w:tcW w:w="5000" w:type="pct"/>
            <w:gridSpan w:val="4"/>
            <w:shd w:val="clear" w:color="auto" w:fill="auto"/>
            <w:vAlign w:val="center"/>
          </w:tcPr>
          <w:p w14:paraId="538AC5F9" w14:textId="77777777" w:rsidR="003E02B6" w:rsidRPr="00942059" w:rsidRDefault="003E02B6" w:rsidP="00944568">
            <w:pPr>
              <w:rPr>
                <w:rFonts w:ascii="Titillium" w:hAnsi="Titillium"/>
                <w:b/>
                <w:bCs/>
              </w:rPr>
            </w:pPr>
            <w:r w:rsidRPr="00942059">
              <w:rPr>
                <w:rFonts w:ascii="Titillium" w:hAnsi="Titillium"/>
                <w:b/>
                <w:bCs/>
              </w:rPr>
              <w:t>Arredi per Area Welfare*</w:t>
            </w:r>
          </w:p>
          <w:p w14:paraId="0DD9D2E7" w14:textId="77777777" w:rsidR="003E02B6" w:rsidRPr="00942059" w:rsidRDefault="003E02B6" w:rsidP="00944568">
            <w:pPr>
              <w:rPr>
                <w:rFonts w:ascii="Titillium" w:hAnsi="Titillium"/>
                <w:b/>
                <w:bCs/>
                <w:i/>
                <w:iCs/>
              </w:rPr>
            </w:pPr>
            <w:r w:rsidRPr="00942059">
              <w:rPr>
                <w:rFonts w:ascii="Titillium" w:hAnsi="Titillium"/>
                <w:b/>
                <w:bCs/>
                <w:i/>
                <w:iCs/>
                <w:sz w:val="16"/>
                <w:szCs w:val="16"/>
              </w:rPr>
              <w:t>*Tutte le forniture appartenenti a questa area dovranno essere coordinate in termini di materiali e finiture.</w:t>
            </w:r>
          </w:p>
        </w:tc>
      </w:tr>
      <w:tr w:rsidR="003E02B6" w:rsidRPr="00942059" w14:paraId="3F488352" w14:textId="77777777" w:rsidTr="00F65CA5">
        <w:trPr>
          <w:trHeight w:val="1134"/>
        </w:trPr>
        <w:tc>
          <w:tcPr>
            <w:tcW w:w="631" w:type="pct"/>
          </w:tcPr>
          <w:p w14:paraId="5F68031A" w14:textId="77777777" w:rsidR="003E02B6" w:rsidRPr="00942059" w:rsidRDefault="003E02B6" w:rsidP="00944568">
            <w:pPr>
              <w:rPr>
                <w:rFonts w:ascii="Titillium" w:hAnsi="Titillium"/>
                <w:b/>
                <w:bCs/>
                <w:sz w:val="20"/>
                <w:szCs w:val="18"/>
              </w:rPr>
            </w:pPr>
            <w:r w:rsidRPr="00942059">
              <w:rPr>
                <w:rFonts w:ascii="Titillium" w:hAnsi="Titillium"/>
                <w:b/>
                <w:bCs/>
                <w:sz w:val="20"/>
                <w:szCs w:val="18"/>
              </w:rPr>
              <w:t>WLF 01</w:t>
            </w:r>
          </w:p>
        </w:tc>
        <w:tc>
          <w:tcPr>
            <w:tcW w:w="3327" w:type="pct"/>
          </w:tcPr>
          <w:p w14:paraId="344BF3F5"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tavolo per l’area welfare circolare delle dimensioni pari a circa cm 70-80x70-75 (</w:t>
            </w:r>
            <w:proofErr w:type="spellStart"/>
            <w:r w:rsidRPr="00942059">
              <w:rPr>
                <w:rFonts w:ascii="Titillium" w:hAnsi="Titillium"/>
                <w:sz w:val="18"/>
                <w:szCs w:val="18"/>
              </w:rPr>
              <w:t>DxH</w:t>
            </w:r>
            <w:proofErr w:type="spellEnd"/>
            <w:r w:rsidRPr="00942059">
              <w:rPr>
                <w:rFonts w:ascii="Titillium" w:hAnsi="Titillium"/>
                <w:sz w:val="18"/>
                <w:szCs w:val="18"/>
              </w:rPr>
              <w:t>), avente piano in legno realizzato in truciolare (classe E1), spessore a partire da mm 25, con rivestimento su ambo i lati in nobilitato melaminico, antiriflesso e antigraffio, bordato con uno spessore pari a circa mm 2. La struttura può essere dotata di colonna tubolare cava centrale con basamento in acciaio cromato, o in alluminio lucido, o in alluminio verniciato a polveri epossidiche.  Le finiture sono da definire in relazione ad una rosa di colori proposta. Il prezzo unitario remunera altresì il trasporto, il tiro in alto, il montaggio, lo smaltimento imballaggi e ogni onere e magistero per fornire il prodotto installato a perfetta regola d’arte.</w:t>
            </w:r>
          </w:p>
        </w:tc>
        <w:tc>
          <w:tcPr>
            <w:tcW w:w="298" w:type="pct"/>
            <w:vAlign w:val="bottom"/>
          </w:tcPr>
          <w:p w14:paraId="60DACCFA"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44" w:type="pct"/>
            <w:vAlign w:val="bottom"/>
          </w:tcPr>
          <w:p w14:paraId="44F67DE5"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296,69 €</w:t>
            </w:r>
          </w:p>
        </w:tc>
      </w:tr>
      <w:tr w:rsidR="003E02B6" w:rsidRPr="00942059" w14:paraId="549E9846" w14:textId="77777777" w:rsidTr="00F65CA5">
        <w:trPr>
          <w:trHeight w:val="794"/>
        </w:trPr>
        <w:tc>
          <w:tcPr>
            <w:tcW w:w="631" w:type="pct"/>
          </w:tcPr>
          <w:p w14:paraId="5BE2C56B" w14:textId="77777777" w:rsidR="003E02B6" w:rsidRPr="00942059" w:rsidRDefault="003E02B6" w:rsidP="00944568">
            <w:pPr>
              <w:rPr>
                <w:rFonts w:ascii="Titillium" w:hAnsi="Titillium"/>
                <w:b/>
                <w:bCs/>
                <w:sz w:val="20"/>
                <w:szCs w:val="18"/>
              </w:rPr>
            </w:pPr>
            <w:r w:rsidRPr="00942059">
              <w:rPr>
                <w:rFonts w:ascii="Titillium" w:hAnsi="Titillium"/>
                <w:b/>
                <w:bCs/>
                <w:sz w:val="20"/>
                <w:szCs w:val="18"/>
              </w:rPr>
              <w:t>WLF 02</w:t>
            </w:r>
          </w:p>
        </w:tc>
        <w:tc>
          <w:tcPr>
            <w:tcW w:w="3327" w:type="pct"/>
          </w:tcPr>
          <w:p w14:paraId="25BC718A"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seduta per l’area welfare, con sedile e schienale in polipropilene, può presentare una base c.d. “a slitta” o con n. 4 gambe; le parti in metallo devono essere o in acciaio cromato, o in alluminio lucido, o in alluminio verniciato a polveri epossidiche. La seduta deve essere preferibilmente della tipologia impilabile. Le finiture sono da definire in relazione ad una rosa di colori proposta. Il prezzo unitario remunera altresì il trasporto, il tiro in alto, il montaggio, lo smaltimento imballaggi e ogni onere e magistero per fornire il prodotto installato a perfetta regola d’arte.</w:t>
            </w:r>
          </w:p>
        </w:tc>
        <w:tc>
          <w:tcPr>
            <w:tcW w:w="298" w:type="pct"/>
            <w:vAlign w:val="bottom"/>
          </w:tcPr>
          <w:p w14:paraId="495C828A"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44" w:type="pct"/>
            <w:vAlign w:val="bottom"/>
          </w:tcPr>
          <w:p w14:paraId="7D08C5F1"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163,65 €</w:t>
            </w:r>
          </w:p>
        </w:tc>
      </w:tr>
      <w:tr w:rsidR="003E02B6" w:rsidRPr="00942059" w14:paraId="3391E91E" w14:textId="77777777" w:rsidTr="00F65CA5">
        <w:trPr>
          <w:trHeight w:val="1134"/>
        </w:trPr>
        <w:tc>
          <w:tcPr>
            <w:tcW w:w="631" w:type="pct"/>
          </w:tcPr>
          <w:p w14:paraId="63449AA8" w14:textId="77777777" w:rsidR="003E02B6" w:rsidRPr="00942059" w:rsidRDefault="003E02B6" w:rsidP="00944568">
            <w:pPr>
              <w:rPr>
                <w:rFonts w:ascii="Titillium" w:hAnsi="Titillium"/>
                <w:sz w:val="20"/>
                <w:szCs w:val="18"/>
              </w:rPr>
            </w:pPr>
            <w:r w:rsidRPr="00942059">
              <w:rPr>
                <w:rFonts w:ascii="Titillium" w:hAnsi="Titillium"/>
                <w:b/>
                <w:bCs/>
                <w:sz w:val="20"/>
                <w:szCs w:val="18"/>
              </w:rPr>
              <w:t>WLF 03</w:t>
            </w:r>
          </w:p>
        </w:tc>
        <w:tc>
          <w:tcPr>
            <w:tcW w:w="3327" w:type="pct"/>
          </w:tcPr>
          <w:p w14:paraId="59EE0814"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tavolo alto su misura per l’area welfare (“mensola bar”) rettangolare delle dimensioni di circa cm 340x40-60x100 (</w:t>
            </w:r>
            <w:proofErr w:type="spellStart"/>
            <w:r w:rsidRPr="00942059">
              <w:rPr>
                <w:rFonts w:ascii="Titillium" w:hAnsi="Titillium"/>
                <w:sz w:val="18"/>
                <w:szCs w:val="18"/>
              </w:rPr>
              <w:t>LxPxH</w:t>
            </w:r>
            <w:proofErr w:type="spellEnd"/>
            <w:r w:rsidRPr="00942059">
              <w:rPr>
                <w:rFonts w:ascii="Titillium" w:hAnsi="Titillium"/>
                <w:sz w:val="18"/>
                <w:szCs w:val="18"/>
              </w:rPr>
              <w:t xml:space="preserve">) avente </w:t>
            </w:r>
            <w:r w:rsidRPr="00942059">
              <w:rPr>
                <w:rFonts w:ascii="Titillium" w:hAnsi="Titillium"/>
                <w:i/>
                <w:iCs/>
                <w:sz w:val="18"/>
                <w:szCs w:val="18"/>
              </w:rPr>
              <w:t xml:space="preserve">top </w:t>
            </w:r>
            <w:r w:rsidRPr="00942059">
              <w:rPr>
                <w:rFonts w:ascii="Titillium" w:hAnsi="Titillium"/>
                <w:sz w:val="18"/>
                <w:szCs w:val="18"/>
              </w:rPr>
              <w:t xml:space="preserve">in legno realizzato in truciolare (classe E1), spessore di circa cm 5, con rivestimento su ambo i lati in nobilitato melaminico, antiriflesso e antigraffio. La struttura della scrivania deve soddisfare i requisiti di stabilità, resistenza, durabilità ed eleganza estetica, può essere realizzata in pannelli verticali lignei in linea con il </w:t>
            </w:r>
            <w:r w:rsidRPr="00942059">
              <w:rPr>
                <w:rFonts w:ascii="Titillium" w:hAnsi="Titillium"/>
                <w:i/>
                <w:iCs/>
                <w:sz w:val="18"/>
                <w:szCs w:val="18"/>
              </w:rPr>
              <w:t xml:space="preserve">top, </w:t>
            </w:r>
            <w:r w:rsidRPr="00942059">
              <w:rPr>
                <w:rFonts w:ascii="Titillium" w:hAnsi="Titillium"/>
                <w:sz w:val="18"/>
                <w:szCs w:val="18"/>
              </w:rPr>
              <w:t>oppure mediante struttura in acciaio o in alluminio verniciato a polveri epossidiche. Le finiture sono da definire in relazione ad una rosa di colori proposta. Il prezzo unitario remunera altresì il trasporto, il tiro in alto, il montaggio, lo smaltimento imballaggi e ogni onere e magistero per fornire il prodotto installato a perfetta regola d’arte.</w:t>
            </w:r>
          </w:p>
        </w:tc>
        <w:tc>
          <w:tcPr>
            <w:tcW w:w="298" w:type="pct"/>
            <w:vAlign w:val="bottom"/>
          </w:tcPr>
          <w:p w14:paraId="1BB8DA6F"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44" w:type="pct"/>
            <w:vAlign w:val="bottom"/>
          </w:tcPr>
          <w:p w14:paraId="1DA08EC5"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1.486,03 €</w:t>
            </w:r>
          </w:p>
        </w:tc>
      </w:tr>
      <w:tr w:rsidR="003E02B6" w:rsidRPr="00942059" w14:paraId="0D281386" w14:textId="77777777" w:rsidTr="00F65CA5">
        <w:trPr>
          <w:trHeight w:val="557"/>
        </w:trPr>
        <w:tc>
          <w:tcPr>
            <w:tcW w:w="631" w:type="pct"/>
          </w:tcPr>
          <w:p w14:paraId="7FA8FDA9" w14:textId="77777777" w:rsidR="003E02B6" w:rsidRPr="00942059" w:rsidRDefault="003E02B6" w:rsidP="00944568">
            <w:pPr>
              <w:rPr>
                <w:rFonts w:ascii="Titillium" w:hAnsi="Titillium"/>
                <w:sz w:val="20"/>
                <w:szCs w:val="18"/>
              </w:rPr>
            </w:pPr>
            <w:r w:rsidRPr="00942059">
              <w:rPr>
                <w:rFonts w:ascii="Titillium" w:hAnsi="Titillium"/>
                <w:b/>
                <w:bCs/>
                <w:sz w:val="20"/>
                <w:szCs w:val="18"/>
              </w:rPr>
              <w:t>WLF 04</w:t>
            </w:r>
          </w:p>
        </w:tc>
        <w:tc>
          <w:tcPr>
            <w:tcW w:w="3327" w:type="pct"/>
          </w:tcPr>
          <w:p w14:paraId="11182D77"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sgabello alto per l’area welfare preferibilmente impilabile, coordinato alle sedute welfare WLF 02, con sedile e schienale in polipropilene, può presentare una base c.d. a “slitta” o con n. 4 gambe; le parti in metallo devono essere o in acciaio cromato, o in alluminio lucido, o in alluminio verniciato a polveri epossidiche. Le finiture sono da definire in relazione ad una rosa di colori proposta. Il prezzo unitario remunera altresì il trasporto, il tiro in alto, il montaggio, lo smaltimento imballaggi e ogni onere e magistero per fornire il prodotto installato a perfetta regola d’arte.</w:t>
            </w:r>
          </w:p>
        </w:tc>
        <w:tc>
          <w:tcPr>
            <w:tcW w:w="298" w:type="pct"/>
            <w:vAlign w:val="bottom"/>
          </w:tcPr>
          <w:p w14:paraId="6794E573"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44" w:type="pct"/>
            <w:vAlign w:val="bottom"/>
          </w:tcPr>
          <w:p w14:paraId="563367F5"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215,42 €</w:t>
            </w:r>
          </w:p>
        </w:tc>
      </w:tr>
    </w:tbl>
    <w:p w14:paraId="087413CB" w14:textId="77777777" w:rsidR="00F65CA5" w:rsidRPr="00942059" w:rsidRDefault="00F65CA5">
      <w:r w:rsidRPr="00942059">
        <w:br w:type="page"/>
      </w:r>
    </w:p>
    <w:tbl>
      <w:tblPr>
        <w:tblStyle w:val="Grigliatabella"/>
        <w:tblW w:w="5000" w:type="pct"/>
        <w:tblLook w:val="04A0" w:firstRow="1" w:lastRow="0" w:firstColumn="1" w:lastColumn="0" w:noHBand="0" w:noVBand="1"/>
      </w:tblPr>
      <w:tblGrid>
        <w:gridCol w:w="1802"/>
        <w:gridCol w:w="9500"/>
        <w:gridCol w:w="851"/>
        <w:gridCol w:w="2124"/>
      </w:tblGrid>
      <w:tr w:rsidR="00F65CA5" w:rsidRPr="00942059" w14:paraId="61F5AACD" w14:textId="77777777" w:rsidTr="00944568">
        <w:trPr>
          <w:trHeight w:val="567"/>
        </w:trPr>
        <w:tc>
          <w:tcPr>
            <w:tcW w:w="631" w:type="pct"/>
            <w:shd w:val="clear" w:color="auto" w:fill="E7E6E6" w:themeFill="background2"/>
            <w:vAlign w:val="center"/>
          </w:tcPr>
          <w:p w14:paraId="1E43C635" w14:textId="77777777" w:rsidR="00F65CA5" w:rsidRPr="00942059" w:rsidRDefault="00F65CA5" w:rsidP="00944568">
            <w:pPr>
              <w:jc w:val="center"/>
              <w:rPr>
                <w:rFonts w:ascii="Titillium" w:hAnsi="Titillium"/>
                <w:b/>
                <w:bCs/>
                <w:sz w:val="20"/>
                <w:szCs w:val="18"/>
              </w:rPr>
            </w:pPr>
            <w:r w:rsidRPr="00942059">
              <w:rPr>
                <w:rFonts w:ascii="Titillium" w:hAnsi="Titillium"/>
                <w:b/>
                <w:bCs/>
                <w:sz w:val="20"/>
                <w:szCs w:val="18"/>
              </w:rPr>
              <w:lastRenderedPageBreak/>
              <w:t>Codice</w:t>
            </w:r>
          </w:p>
        </w:tc>
        <w:tc>
          <w:tcPr>
            <w:tcW w:w="3327" w:type="pct"/>
            <w:shd w:val="clear" w:color="auto" w:fill="E7E6E6" w:themeFill="background2"/>
            <w:vAlign w:val="center"/>
          </w:tcPr>
          <w:p w14:paraId="29179C2C" w14:textId="77777777" w:rsidR="00F65CA5" w:rsidRPr="00942059" w:rsidRDefault="00F65CA5" w:rsidP="00944568">
            <w:pPr>
              <w:jc w:val="center"/>
              <w:rPr>
                <w:rFonts w:ascii="Titillium" w:hAnsi="Titillium"/>
                <w:b/>
                <w:bCs/>
                <w:sz w:val="20"/>
                <w:szCs w:val="18"/>
              </w:rPr>
            </w:pPr>
            <w:r w:rsidRPr="00942059">
              <w:rPr>
                <w:rFonts w:ascii="Titillium" w:hAnsi="Titillium"/>
                <w:b/>
                <w:bCs/>
                <w:sz w:val="20"/>
                <w:szCs w:val="18"/>
              </w:rPr>
              <w:t>DESCRIZIONE COMPLETA DEGLI ARREDI</w:t>
            </w:r>
          </w:p>
        </w:tc>
        <w:tc>
          <w:tcPr>
            <w:tcW w:w="298" w:type="pct"/>
            <w:shd w:val="clear" w:color="auto" w:fill="E7E6E6" w:themeFill="background2"/>
            <w:vAlign w:val="center"/>
          </w:tcPr>
          <w:p w14:paraId="09CF1150" w14:textId="77777777" w:rsidR="00F65CA5" w:rsidRPr="00942059" w:rsidRDefault="00F65CA5" w:rsidP="00944568">
            <w:pPr>
              <w:jc w:val="center"/>
              <w:rPr>
                <w:rFonts w:ascii="Titillium" w:hAnsi="Titillium"/>
                <w:b/>
                <w:bCs/>
                <w:sz w:val="20"/>
                <w:szCs w:val="18"/>
              </w:rPr>
            </w:pPr>
            <w:r w:rsidRPr="00942059">
              <w:rPr>
                <w:rFonts w:ascii="Titillium" w:hAnsi="Titillium"/>
                <w:b/>
                <w:bCs/>
                <w:sz w:val="20"/>
                <w:szCs w:val="18"/>
              </w:rPr>
              <w:t>U.M.</w:t>
            </w:r>
          </w:p>
        </w:tc>
        <w:tc>
          <w:tcPr>
            <w:tcW w:w="744" w:type="pct"/>
            <w:shd w:val="clear" w:color="auto" w:fill="E7E6E6" w:themeFill="background2"/>
            <w:vAlign w:val="center"/>
          </w:tcPr>
          <w:p w14:paraId="67D7EEEB" w14:textId="77777777" w:rsidR="00F65CA5" w:rsidRPr="00942059" w:rsidRDefault="00F65CA5" w:rsidP="00944568">
            <w:pPr>
              <w:jc w:val="center"/>
              <w:rPr>
                <w:rFonts w:ascii="Titillium" w:hAnsi="Titillium"/>
                <w:b/>
                <w:bCs/>
                <w:sz w:val="20"/>
                <w:szCs w:val="18"/>
              </w:rPr>
            </w:pPr>
            <w:r w:rsidRPr="00942059">
              <w:rPr>
                <w:rFonts w:ascii="Titillium" w:hAnsi="Titillium"/>
                <w:b/>
                <w:bCs/>
                <w:sz w:val="20"/>
                <w:szCs w:val="18"/>
              </w:rPr>
              <w:t>Prezzo Unitario (€)</w:t>
            </w:r>
          </w:p>
        </w:tc>
      </w:tr>
      <w:tr w:rsidR="00F65CA5" w:rsidRPr="00942059" w14:paraId="29B5DFF8" w14:textId="77777777" w:rsidTr="00944568">
        <w:trPr>
          <w:trHeight w:val="567"/>
        </w:trPr>
        <w:tc>
          <w:tcPr>
            <w:tcW w:w="5000" w:type="pct"/>
            <w:gridSpan w:val="4"/>
            <w:shd w:val="clear" w:color="auto" w:fill="auto"/>
            <w:vAlign w:val="center"/>
          </w:tcPr>
          <w:p w14:paraId="28A656DC" w14:textId="77777777" w:rsidR="00F65CA5" w:rsidRPr="00942059" w:rsidRDefault="00F65CA5" w:rsidP="00944568">
            <w:pPr>
              <w:rPr>
                <w:rFonts w:ascii="Titillium" w:hAnsi="Titillium"/>
                <w:b/>
                <w:bCs/>
              </w:rPr>
            </w:pPr>
            <w:r w:rsidRPr="00942059">
              <w:rPr>
                <w:rFonts w:ascii="Titillium" w:hAnsi="Titillium"/>
                <w:b/>
                <w:bCs/>
              </w:rPr>
              <w:t>Arredi per Area Welfare*</w:t>
            </w:r>
          </w:p>
          <w:p w14:paraId="105F0E57" w14:textId="77777777" w:rsidR="00F65CA5" w:rsidRPr="00942059" w:rsidRDefault="00F65CA5" w:rsidP="00944568">
            <w:pPr>
              <w:rPr>
                <w:rFonts w:ascii="Titillium" w:hAnsi="Titillium"/>
                <w:b/>
                <w:bCs/>
                <w:i/>
                <w:iCs/>
              </w:rPr>
            </w:pPr>
            <w:r w:rsidRPr="00942059">
              <w:rPr>
                <w:rFonts w:ascii="Titillium" w:hAnsi="Titillium"/>
                <w:b/>
                <w:bCs/>
                <w:i/>
                <w:iCs/>
                <w:sz w:val="16"/>
                <w:szCs w:val="16"/>
              </w:rPr>
              <w:t>*Tutte le forniture appartenenti a questa area dovranno essere coordinate in termini di materiali e finiture.</w:t>
            </w:r>
          </w:p>
        </w:tc>
      </w:tr>
      <w:tr w:rsidR="003E02B6" w:rsidRPr="00942059" w14:paraId="4B5D5269" w14:textId="77777777" w:rsidTr="00F65CA5">
        <w:trPr>
          <w:trHeight w:val="1134"/>
        </w:trPr>
        <w:tc>
          <w:tcPr>
            <w:tcW w:w="631" w:type="pct"/>
          </w:tcPr>
          <w:p w14:paraId="5581B646" w14:textId="1C190F7E" w:rsidR="003E02B6" w:rsidRPr="00942059" w:rsidRDefault="003E02B6" w:rsidP="00944568">
            <w:pPr>
              <w:rPr>
                <w:rFonts w:ascii="Titillium" w:hAnsi="Titillium"/>
                <w:sz w:val="20"/>
                <w:szCs w:val="18"/>
              </w:rPr>
            </w:pPr>
            <w:r w:rsidRPr="00942059">
              <w:rPr>
                <w:rFonts w:ascii="Titillium" w:hAnsi="Titillium"/>
                <w:b/>
                <w:bCs/>
                <w:sz w:val="20"/>
                <w:szCs w:val="18"/>
              </w:rPr>
              <w:t>WLF 05</w:t>
            </w:r>
          </w:p>
        </w:tc>
        <w:tc>
          <w:tcPr>
            <w:tcW w:w="3327" w:type="pct"/>
          </w:tcPr>
          <w:p w14:paraId="6C3A76EA" w14:textId="77777777" w:rsidR="003E02B6" w:rsidRPr="00942059" w:rsidRDefault="003E02B6" w:rsidP="00944568">
            <w:pPr>
              <w:rPr>
                <w:rFonts w:ascii="Titillium" w:hAnsi="Titillium"/>
                <w:color w:val="FF0000"/>
                <w:sz w:val="18"/>
                <w:szCs w:val="18"/>
              </w:rPr>
            </w:pPr>
            <w:r w:rsidRPr="00942059">
              <w:rPr>
                <w:rFonts w:ascii="Titillium" w:hAnsi="Titillium"/>
                <w:sz w:val="18"/>
                <w:szCs w:val="18"/>
              </w:rPr>
              <w:t xml:space="preserve">Fornitura e posa in opera di parete attrezzata dotata di lavastoviglie e lavabo. La struttura, le ante, i ripiani e i cassetti devono essere in pannelli in legno realizzati in truciolare ad alta densità (classe E1), bordati e con raggio di curvatura pari ad almeno mm 2, con rivestimento su ambo i lati in nobilitato melaminico, completo di </w:t>
            </w:r>
            <w:r w:rsidRPr="00942059">
              <w:rPr>
                <w:rFonts w:ascii="Titillium" w:hAnsi="Titillium"/>
                <w:i/>
                <w:iCs/>
                <w:sz w:val="18"/>
                <w:szCs w:val="18"/>
              </w:rPr>
              <w:t>top</w:t>
            </w:r>
            <w:r w:rsidRPr="00942059">
              <w:rPr>
                <w:rFonts w:ascii="Titillium" w:hAnsi="Titillium"/>
                <w:sz w:val="18"/>
                <w:szCs w:val="18"/>
              </w:rPr>
              <w:t xml:space="preserve"> a copertura dei due moduli. </w:t>
            </w:r>
            <w:proofErr w:type="gramStart"/>
            <w:r w:rsidRPr="00942059">
              <w:rPr>
                <w:rFonts w:ascii="Titillium" w:hAnsi="Titillium"/>
                <w:sz w:val="18"/>
                <w:szCs w:val="18"/>
              </w:rPr>
              <w:t>Le ante della parete attrezzata,</w:t>
            </w:r>
            <w:proofErr w:type="gramEnd"/>
            <w:r w:rsidRPr="00942059">
              <w:rPr>
                <w:rFonts w:ascii="Titillium" w:hAnsi="Titillium"/>
                <w:sz w:val="18"/>
                <w:szCs w:val="18"/>
              </w:rPr>
              <w:t xml:space="preserve"> devono essere dotate di cerniere con fissaggio rapido a camma regolabili con apertura ad almeno 110°; nonché dotate di maniglie “a ponte” o “a gola cava” orizzontale. Deve, inoltre, essere presente uno zoccolino per mobile da cucina. La parete attrezzata deve essere caratterizzata da n.4 moduli delle dimensioni di circa cm 60x60x80 (</w:t>
            </w:r>
            <w:proofErr w:type="spellStart"/>
            <w:r w:rsidRPr="00942059">
              <w:rPr>
                <w:rFonts w:ascii="Titillium" w:hAnsi="Titillium"/>
                <w:sz w:val="18"/>
                <w:szCs w:val="18"/>
              </w:rPr>
              <w:t>LxPxH</w:t>
            </w:r>
            <w:proofErr w:type="spellEnd"/>
            <w:r w:rsidRPr="00942059">
              <w:rPr>
                <w:rFonts w:ascii="Titillium" w:hAnsi="Titillium"/>
                <w:sz w:val="18"/>
                <w:szCs w:val="18"/>
              </w:rPr>
              <w:t xml:space="preserve">). La parete è inoltre dotata di paraschizzi impermeabile e di </w:t>
            </w:r>
            <w:r w:rsidRPr="00942059">
              <w:rPr>
                <w:rFonts w:ascii="Titillium" w:hAnsi="Titillium"/>
                <w:i/>
                <w:iCs/>
                <w:sz w:val="18"/>
                <w:szCs w:val="18"/>
              </w:rPr>
              <w:t xml:space="preserve">top </w:t>
            </w:r>
            <w:r w:rsidRPr="00942059">
              <w:rPr>
                <w:rFonts w:ascii="Titillium" w:hAnsi="Titillium"/>
                <w:sz w:val="18"/>
                <w:szCs w:val="18"/>
              </w:rPr>
              <w:t>lavabile e resistente al calore, all’abrasione, all’usura e al riversamento di liquidi. Inoltre, devono essere previste n.2 mensole fissate a parete, delle dimensioni di circa cm 180x30 (</w:t>
            </w:r>
            <w:proofErr w:type="spellStart"/>
            <w:r w:rsidRPr="00942059">
              <w:rPr>
                <w:rFonts w:ascii="Titillium" w:hAnsi="Titillium"/>
                <w:sz w:val="18"/>
                <w:szCs w:val="18"/>
              </w:rPr>
              <w:t>LxP</w:t>
            </w:r>
            <w:proofErr w:type="spellEnd"/>
            <w:r w:rsidRPr="00942059">
              <w:rPr>
                <w:rFonts w:ascii="Titillium" w:hAnsi="Titillium"/>
                <w:sz w:val="18"/>
                <w:szCs w:val="18"/>
              </w:rPr>
              <w:t>) e di spessore pari a circa cm 4. Un modulo della parete attrezzata, ospita n.1 lavabo con doppia vasca comprensivo di miscelatore, scarico e anta battente. Un modulo ospita n.1 lavastoviglie incassata, classe energetica non inferiore alla classe A, completo di anta a ribalta. Due moduli sono dotati di ante battenti e almeno un ripiano per modulo. Per ulteriori specifiche si rimanda all’elaborato grafico                          Lotto</w:t>
            </w:r>
            <w:r w:rsidRPr="00942059">
              <w:rPr>
                <w:rFonts w:ascii="Titillium" w:hAnsi="Titillium" w:cs="Calibri"/>
                <w:iCs/>
                <w:sz w:val="18"/>
                <w:szCs w:val="18"/>
                <w:lang w:val="x-none"/>
              </w:rPr>
              <w:t>_1-ET.pdf</w:t>
            </w:r>
            <w:r w:rsidRPr="00942059">
              <w:rPr>
                <w:rFonts w:ascii="Titillium" w:hAnsi="Titillium"/>
                <w:sz w:val="18"/>
                <w:szCs w:val="18"/>
              </w:rPr>
              <w:t>. Le finiture sono da definire in relazione ad una rosa di colori proposta. Il prezzo unitario remunera altresì il trasporto, il tiro in alto, il montaggio, lo smaltimento imballaggi e ogni onere e magistero per fornire il prodotto installato a perfetta regola d’arte.</w:t>
            </w:r>
          </w:p>
        </w:tc>
        <w:tc>
          <w:tcPr>
            <w:tcW w:w="298" w:type="pct"/>
            <w:vAlign w:val="bottom"/>
          </w:tcPr>
          <w:p w14:paraId="19F0E6E5"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44" w:type="pct"/>
            <w:vAlign w:val="bottom"/>
          </w:tcPr>
          <w:p w14:paraId="49D6AAA5"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3.753,66 €</w:t>
            </w:r>
          </w:p>
        </w:tc>
      </w:tr>
      <w:tr w:rsidR="003E02B6" w:rsidRPr="00942059" w14:paraId="09BC5C3F" w14:textId="77777777" w:rsidTr="00F65CA5">
        <w:trPr>
          <w:trHeight w:val="1134"/>
        </w:trPr>
        <w:tc>
          <w:tcPr>
            <w:tcW w:w="631" w:type="pct"/>
          </w:tcPr>
          <w:p w14:paraId="562F5126" w14:textId="77777777" w:rsidR="003E02B6" w:rsidRPr="00942059" w:rsidRDefault="003E02B6" w:rsidP="00944568">
            <w:pPr>
              <w:rPr>
                <w:rFonts w:ascii="Titillium" w:hAnsi="Titillium"/>
                <w:sz w:val="20"/>
                <w:szCs w:val="18"/>
              </w:rPr>
            </w:pPr>
            <w:r w:rsidRPr="00942059">
              <w:rPr>
                <w:rFonts w:ascii="Titillium" w:hAnsi="Titillium"/>
                <w:b/>
                <w:bCs/>
                <w:sz w:val="20"/>
                <w:szCs w:val="18"/>
              </w:rPr>
              <w:t>WLF 06</w:t>
            </w:r>
          </w:p>
        </w:tc>
        <w:tc>
          <w:tcPr>
            <w:tcW w:w="3327" w:type="pct"/>
          </w:tcPr>
          <w:p w14:paraId="7048F1D3"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parete attrezzata dotata di frigorifero, delle dimensioni totali pari a circa cm 180x60x200 (</w:t>
            </w:r>
            <w:proofErr w:type="spellStart"/>
            <w:r w:rsidRPr="00942059">
              <w:rPr>
                <w:rFonts w:ascii="Titillium" w:hAnsi="Titillium"/>
                <w:sz w:val="18"/>
                <w:szCs w:val="18"/>
              </w:rPr>
              <w:t>LxPxH</w:t>
            </w:r>
            <w:proofErr w:type="spellEnd"/>
            <w:r w:rsidRPr="00942059">
              <w:rPr>
                <w:rFonts w:ascii="Titillium" w:hAnsi="Titillium"/>
                <w:sz w:val="18"/>
                <w:szCs w:val="18"/>
              </w:rPr>
              <w:t xml:space="preserve">). La struttura, le ante, i ripiani e i cassetti devono essere in pannelli in legno realizzati in truciolare ad alta densità (classe E1), bordati e con raggio di curvatura pari ad almeno mm 2, con rivestimento su ambo i lati in nobilitato melaminico. </w:t>
            </w:r>
            <w:proofErr w:type="gramStart"/>
            <w:r w:rsidRPr="00942059">
              <w:rPr>
                <w:rFonts w:ascii="Titillium" w:hAnsi="Titillium"/>
                <w:sz w:val="18"/>
                <w:szCs w:val="18"/>
              </w:rPr>
              <w:t>Le ante della parete attrezzata,</w:t>
            </w:r>
            <w:proofErr w:type="gramEnd"/>
            <w:r w:rsidRPr="00942059">
              <w:rPr>
                <w:rFonts w:ascii="Titillium" w:hAnsi="Titillium"/>
                <w:sz w:val="18"/>
                <w:szCs w:val="18"/>
              </w:rPr>
              <w:t xml:space="preserve"> devono essere dotate di cerniere con fissaggio rapido a camma regolabili con apertura ad almeno 110°; nonché dotate di maniglie “a ponte” o “a gola cava” orizzontale. Deve, inoltre, essere presente uno zoccolino per mobile da cucina. La parete attrezzata è caratterizzata da n.2 colonne delle dimensioni di circa cm 60x60x200 (</w:t>
            </w:r>
            <w:proofErr w:type="spellStart"/>
            <w:r w:rsidRPr="00942059">
              <w:rPr>
                <w:rFonts w:ascii="Titillium" w:hAnsi="Titillium"/>
                <w:sz w:val="18"/>
                <w:szCs w:val="18"/>
              </w:rPr>
              <w:t>LxPxH</w:t>
            </w:r>
            <w:proofErr w:type="spellEnd"/>
            <w:r w:rsidRPr="00942059">
              <w:rPr>
                <w:rFonts w:ascii="Titillium" w:hAnsi="Titillium"/>
                <w:sz w:val="18"/>
                <w:szCs w:val="18"/>
              </w:rPr>
              <w:t>) costituite rispettivamente da n.1 modulo superiore con anta battente, n.2 vani a giorno centrali, per futuro inserimento di microonde, da n.1 modulo inferiore con anta battente; e da n.1 frigorifero dotato di congelatore, di classe energetica non inferiore alla classe A. Per ulteriori specifiche si rimanda all’elaborato grafico Lotto</w:t>
            </w:r>
            <w:r w:rsidRPr="00942059">
              <w:rPr>
                <w:rFonts w:ascii="Titillium" w:hAnsi="Titillium" w:cs="Calibri"/>
                <w:iCs/>
                <w:sz w:val="18"/>
                <w:szCs w:val="18"/>
                <w:lang w:val="x-none"/>
              </w:rPr>
              <w:t>_1-ET.pdf</w:t>
            </w:r>
            <w:r w:rsidRPr="00942059">
              <w:rPr>
                <w:rFonts w:ascii="Titillium" w:hAnsi="Titillium"/>
                <w:sz w:val="18"/>
                <w:szCs w:val="18"/>
              </w:rPr>
              <w:t>. Le finiture sono da definire in relazione ad una rosa di colori proposta e devono essere coordinate alla parete attrezzata WLF 05. Il prezzo unitario remunera altresì il trasporto, il tiro in alto, il montaggio, lo smaltimento imballaggi e ogni onere e magistero per fornire il prodotto installato a perfetta regola d’arte.</w:t>
            </w:r>
          </w:p>
        </w:tc>
        <w:tc>
          <w:tcPr>
            <w:tcW w:w="298" w:type="pct"/>
            <w:vAlign w:val="bottom"/>
          </w:tcPr>
          <w:p w14:paraId="39720F62"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44" w:type="pct"/>
            <w:vAlign w:val="bottom"/>
          </w:tcPr>
          <w:p w14:paraId="67C4F372"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3.557,50 €</w:t>
            </w:r>
          </w:p>
        </w:tc>
      </w:tr>
    </w:tbl>
    <w:p w14:paraId="1A2B8BB8" w14:textId="77777777" w:rsidR="003E02B6" w:rsidRPr="00942059" w:rsidRDefault="003E02B6" w:rsidP="003E02B6">
      <w:pPr>
        <w:rPr>
          <w:rFonts w:ascii="Titillium" w:hAnsi="Titillium"/>
        </w:rPr>
      </w:pPr>
    </w:p>
    <w:p w14:paraId="354DF56C" w14:textId="77777777" w:rsidR="00F65CA5" w:rsidRPr="00942059" w:rsidRDefault="00F65CA5">
      <w:r w:rsidRPr="00942059">
        <w:br w:type="page"/>
      </w:r>
    </w:p>
    <w:tbl>
      <w:tblPr>
        <w:tblStyle w:val="Grigliatabella"/>
        <w:tblW w:w="5000" w:type="pct"/>
        <w:tblLook w:val="04A0" w:firstRow="1" w:lastRow="0" w:firstColumn="1" w:lastColumn="0" w:noHBand="0" w:noVBand="1"/>
      </w:tblPr>
      <w:tblGrid>
        <w:gridCol w:w="1830"/>
        <w:gridCol w:w="9463"/>
        <w:gridCol w:w="957"/>
        <w:gridCol w:w="2027"/>
      </w:tblGrid>
      <w:tr w:rsidR="003E02B6" w:rsidRPr="00942059" w14:paraId="4926B2FA" w14:textId="77777777" w:rsidTr="00944568">
        <w:trPr>
          <w:trHeight w:val="567"/>
        </w:trPr>
        <w:tc>
          <w:tcPr>
            <w:tcW w:w="641" w:type="pct"/>
            <w:shd w:val="clear" w:color="auto" w:fill="E7E6E6" w:themeFill="background2"/>
            <w:vAlign w:val="center"/>
          </w:tcPr>
          <w:p w14:paraId="139BD97A" w14:textId="2867E8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lastRenderedPageBreak/>
              <w:t>Codice</w:t>
            </w:r>
          </w:p>
        </w:tc>
        <w:tc>
          <w:tcPr>
            <w:tcW w:w="3314" w:type="pct"/>
            <w:shd w:val="clear" w:color="auto" w:fill="E7E6E6" w:themeFill="background2"/>
            <w:vAlign w:val="center"/>
          </w:tcPr>
          <w:p w14:paraId="5CF2E9AC" w14:textId="777777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t>DESCRIZIONE COMPLETA DEGLI ARREDI</w:t>
            </w:r>
          </w:p>
        </w:tc>
        <w:tc>
          <w:tcPr>
            <w:tcW w:w="335" w:type="pct"/>
            <w:shd w:val="clear" w:color="auto" w:fill="E7E6E6" w:themeFill="background2"/>
            <w:vAlign w:val="center"/>
          </w:tcPr>
          <w:p w14:paraId="6DFB48D8" w14:textId="77777777" w:rsidR="003E02B6" w:rsidRPr="00942059" w:rsidRDefault="003E02B6" w:rsidP="00944568">
            <w:pPr>
              <w:jc w:val="center"/>
              <w:rPr>
                <w:rFonts w:ascii="Titillium" w:hAnsi="Titillium"/>
                <w:b/>
                <w:bCs/>
                <w:sz w:val="20"/>
                <w:szCs w:val="18"/>
              </w:rPr>
            </w:pPr>
            <w:r w:rsidRPr="00942059">
              <w:rPr>
                <w:rFonts w:ascii="Titillium" w:hAnsi="Titillium"/>
                <w:b/>
                <w:bCs/>
                <w:sz w:val="20"/>
                <w:szCs w:val="18"/>
              </w:rPr>
              <w:t>U.M.</w:t>
            </w:r>
          </w:p>
        </w:tc>
        <w:tc>
          <w:tcPr>
            <w:tcW w:w="710" w:type="pct"/>
            <w:shd w:val="clear" w:color="auto" w:fill="E7E6E6" w:themeFill="background2"/>
            <w:vAlign w:val="center"/>
          </w:tcPr>
          <w:p w14:paraId="5C266CBF" w14:textId="77777777" w:rsidR="003E02B6" w:rsidRPr="00942059" w:rsidRDefault="003E02B6" w:rsidP="00F65CA5">
            <w:pPr>
              <w:jc w:val="center"/>
              <w:rPr>
                <w:rFonts w:ascii="Titillium" w:hAnsi="Titillium"/>
                <w:b/>
                <w:bCs/>
                <w:sz w:val="20"/>
                <w:szCs w:val="18"/>
              </w:rPr>
            </w:pPr>
            <w:r w:rsidRPr="00942059">
              <w:rPr>
                <w:rFonts w:ascii="Titillium" w:hAnsi="Titillium"/>
                <w:b/>
                <w:bCs/>
                <w:sz w:val="20"/>
                <w:szCs w:val="18"/>
              </w:rPr>
              <w:t>Prezzo Unitario (€)</w:t>
            </w:r>
          </w:p>
        </w:tc>
      </w:tr>
      <w:tr w:rsidR="003E02B6" w:rsidRPr="00942059" w14:paraId="450A40B1" w14:textId="77777777" w:rsidTr="00944568">
        <w:trPr>
          <w:trHeight w:val="567"/>
        </w:trPr>
        <w:tc>
          <w:tcPr>
            <w:tcW w:w="5000" w:type="pct"/>
            <w:gridSpan w:val="4"/>
            <w:shd w:val="clear" w:color="auto" w:fill="auto"/>
            <w:vAlign w:val="center"/>
          </w:tcPr>
          <w:p w14:paraId="6CAD079F" w14:textId="77777777" w:rsidR="003E02B6" w:rsidRPr="00942059" w:rsidRDefault="003E02B6" w:rsidP="00944568">
            <w:pPr>
              <w:rPr>
                <w:rFonts w:ascii="Titillium" w:hAnsi="Titillium"/>
                <w:b/>
                <w:bCs/>
              </w:rPr>
            </w:pPr>
            <w:r w:rsidRPr="00942059">
              <w:rPr>
                <w:rFonts w:ascii="Titillium" w:hAnsi="Titillium"/>
                <w:b/>
                <w:bCs/>
              </w:rPr>
              <w:t xml:space="preserve">Arredi per Area </w:t>
            </w:r>
            <w:r w:rsidRPr="00942059">
              <w:rPr>
                <w:rFonts w:ascii="Titillium" w:hAnsi="Titillium"/>
                <w:b/>
                <w:bCs/>
                <w:i/>
                <w:iCs/>
              </w:rPr>
              <w:t>Reception</w:t>
            </w:r>
            <w:r w:rsidRPr="00942059">
              <w:rPr>
                <w:rFonts w:ascii="Titillium" w:hAnsi="Titillium"/>
                <w:b/>
                <w:bCs/>
              </w:rPr>
              <w:t xml:space="preserve"> e Corridoi</w:t>
            </w:r>
          </w:p>
        </w:tc>
      </w:tr>
      <w:tr w:rsidR="003E02B6" w:rsidRPr="00942059" w14:paraId="5F0AAC1B" w14:textId="77777777" w:rsidTr="00944568">
        <w:trPr>
          <w:trHeight w:val="414"/>
        </w:trPr>
        <w:tc>
          <w:tcPr>
            <w:tcW w:w="641" w:type="pct"/>
          </w:tcPr>
          <w:p w14:paraId="3560AFBA" w14:textId="77777777" w:rsidR="003E02B6" w:rsidRPr="00942059" w:rsidRDefault="003E02B6" w:rsidP="00944568">
            <w:pPr>
              <w:rPr>
                <w:rFonts w:ascii="Titillium" w:hAnsi="Titillium"/>
                <w:b/>
                <w:bCs/>
                <w:sz w:val="20"/>
                <w:szCs w:val="18"/>
              </w:rPr>
            </w:pPr>
            <w:r w:rsidRPr="00942059">
              <w:rPr>
                <w:rFonts w:ascii="Titillium" w:hAnsi="Titillium"/>
                <w:b/>
                <w:bCs/>
                <w:sz w:val="20"/>
                <w:szCs w:val="18"/>
              </w:rPr>
              <w:t>REC 01</w:t>
            </w:r>
          </w:p>
        </w:tc>
        <w:tc>
          <w:tcPr>
            <w:tcW w:w="3314" w:type="pct"/>
          </w:tcPr>
          <w:p w14:paraId="59423BD9" w14:textId="77777777" w:rsidR="003E02B6" w:rsidRPr="00942059" w:rsidRDefault="003E02B6" w:rsidP="00944568">
            <w:pPr>
              <w:rPr>
                <w:rFonts w:ascii="Titillium" w:hAnsi="Titillium"/>
                <w:sz w:val="18"/>
                <w:szCs w:val="18"/>
              </w:rPr>
            </w:pPr>
            <w:r w:rsidRPr="00942059">
              <w:rPr>
                <w:rFonts w:ascii="Titillium" w:hAnsi="Titillium"/>
                <w:sz w:val="18"/>
                <w:szCs w:val="18"/>
              </w:rPr>
              <w:t xml:space="preserve">Fornitura e posa in opera di un bancone per la </w:t>
            </w:r>
            <w:r w:rsidRPr="00942059">
              <w:rPr>
                <w:rFonts w:ascii="Titillium" w:hAnsi="Titillium"/>
                <w:i/>
                <w:iCs/>
                <w:sz w:val="18"/>
                <w:szCs w:val="18"/>
              </w:rPr>
              <w:t>reception</w:t>
            </w:r>
            <w:r w:rsidRPr="00942059">
              <w:rPr>
                <w:rFonts w:ascii="Titillium" w:hAnsi="Titillium"/>
                <w:sz w:val="18"/>
                <w:szCs w:val="18"/>
              </w:rPr>
              <w:t>, delle dimensioni pari a circa cm 300x80x105-120 (</w:t>
            </w:r>
            <w:proofErr w:type="spellStart"/>
            <w:r w:rsidRPr="00942059">
              <w:rPr>
                <w:rFonts w:ascii="Titillium" w:hAnsi="Titillium"/>
                <w:sz w:val="18"/>
                <w:szCs w:val="18"/>
              </w:rPr>
              <w:t>LxPxH</w:t>
            </w:r>
            <w:proofErr w:type="spellEnd"/>
            <w:r w:rsidRPr="00942059">
              <w:rPr>
                <w:rFonts w:ascii="Titillium" w:hAnsi="Titillium"/>
                <w:sz w:val="18"/>
                <w:szCs w:val="18"/>
              </w:rPr>
              <w:t>). La struttura del bancone deve soddisfare i requisiti di stabilità, resistenza, durabilità ed eleganza estetica; la struttura può essere realizzata</w:t>
            </w:r>
            <w:r w:rsidRPr="00942059" w:rsidDel="00221C66">
              <w:rPr>
                <w:rFonts w:ascii="Titillium" w:hAnsi="Titillium"/>
                <w:sz w:val="18"/>
                <w:szCs w:val="18"/>
              </w:rPr>
              <w:t xml:space="preserve"> </w:t>
            </w:r>
            <w:r w:rsidRPr="00942059">
              <w:rPr>
                <w:rFonts w:ascii="Titillium" w:hAnsi="Titillium"/>
                <w:sz w:val="18"/>
                <w:szCs w:val="18"/>
              </w:rPr>
              <w:t xml:space="preserve">in pannelli verticali in MDF, da piani di lavoro in legno in truciolare (classe E1), bordati con uno spessore pari a circa mm 2, rivestiti su ambo i lati in </w:t>
            </w:r>
            <w:r w:rsidRPr="00942059">
              <w:rPr>
                <w:rFonts w:ascii="Titillium" w:hAnsi="Titillium"/>
                <w:i/>
                <w:iCs/>
                <w:sz w:val="18"/>
                <w:szCs w:val="18"/>
              </w:rPr>
              <w:t>3d-foil</w:t>
            </w:r>
            <w:r w:rsidRPr="00942059">
              <w:rPr>
                <w:rFonts w:ascii="Titillium" w:hAnsi="Titillium"/>
                <w:sz w:val="18"/>
                <w:szCs w:val="18"/>
              </w:rPr>
              <w:t xml:space="preserve"> e/o nobilitato melaminico, antiriflesso e antigraffio. Il </w:t>
            </w:r>
            <w:r w:rsidRPr="00942059">
              <w:rPr>
                <w:rFonts w:ascii="Titillium" w:hAnsi="Titillium"/>
                <w:i/>
                <w:iCs/>
                <w:sz w:val="18"/>
                <w:szCs w:val="18"/>
              </w:rPr>
              <w:t xml:space="preserve">top </w:t>
            </w:r>
            <w:r w:rsidRPr="00942059">
              <w:rPr>
                <w:rFonts w:ascii="Titillium" w:hAnsi="Titillium"/>
                <w:sz w:val="18"/>
                <w:szCs w:val="18"/>
              </w:rPr>
              <w:t xml:space="preserve">può essere realizzato con un pannello in MDF rivestito in </w:t>
            </w:r>
            <w:r w:rsidRPr="00942059">
              <w:rPr>
                <w:rFonts w:ascii="Titillium" w:hAnsi="Titillium"/>
                <w:i/>
                <w:iCs/>
                <w:sz w:val="18"/>
                <w:szCs w:val="18"/>
              </w:rPr>
              <w:t>3d-foil</w:t>
            </w:r>
            <w:r w:rsidRPr="00942059">
              <w:rPr>
                <w:rFonts w:ascii="Titillium" w:hAnsi="Titillium"/>
                <w:sz w:val="18"/>
                <w:szCs w:val="18"/>
              </w:rPr>
              <w:t xml:space="preserve">, oppure in vetro temperato tipo </w:t>
            </w:r>
            <w:r w:rsidRPr="00942059">
              <w:rPr>
                <w:rFonts w:ascii="Titillium" w:hAnsi="Titillium"/>
                <w:i/>
                <w:iCs/>
                <w:sz w:val="18"/>
                <w:szCs w:val="18"/>
              </w:rPr>
              <w:t xml:space="preserve">Float </w:t>
            </w:r>
            <w:r w:rsidRPr="00942059">
              <w:rPr>
                <w:rFonts w:ascii="Titillium" w:hAnsi="Titillium"/>
                <w:sz w:val="18"/>
                <w:szCs w:val="18"/>
              </w:rPr>
              <w:t xml:space="preserve">chiaro. Il bancone deve inoltre essere dotato di illuminazione </w:t>
            </w:r>
            <w:r w:rsidRPr="00942059">
              <w:rPr>
                <w:rFonts w:ascii="Titillium" w:hAnsi="Titillium"/>
                <w:i/>
                <w:iCs/>
                <w:sz w:val="18"/>
                <w:szCs w:val="18"/>
              </w:rPr>
              <w:t xml:space="preserve">LED; </w:t>
            </w:r>
            <w:r w:rsidRPr="00942059">
              <w:rPr>
                <w:rFonts w:ascii="Titillium" w:hAnsi="Titillium"/>
                <w:sz w:val="18"/>
                <w:szCs w:val="18"/>
              </w:rPr>
              <w:t xml:space="preserve">nonché di un piano di lavoro provvisto di apposita canalizzazione dei cavi orizzontale e verticale (a titolo esemplificativo: canalina orizzontale sottostante il piano di lavoro, canalina magnetica verticale collegata alla struttura della scrivania per il passaggio dei cavi, o vertebra, etc.) e di n.2 sportelli passacavi in alluminio opaco dotato di spazzola (ad es. </w:t>
            </w:r>
            <w:r w:rsidRPr="00942059">
              <w:rPr>
                <w:rFonts w:ascii="Titillium" w:hAnsi="Titillium"/>
                <w:i/>
                <w:iCs/>
                <w:sz w:val="18"/>
                <w:szCs w:val="18"/>
              </w:rPr>
              <w:t>top access</w:t>
            </w:r>
            <w:r w:rsidRPr="00942059">
              <w:rPr>
                <w:rFonts w:ascii="Titillium" w:hAnsi="Titillium"/>
                <w:sz w:val="18"/>
                <w:szCs w:val="18"/>
              </w:rPr>
              <w:t>).</w:t>
            </w:r>
          </w:p>
          <w:p w14:paraId="5CFEE665" w14:textId="77777777" w:rsidR="003E02B6" w:rsidRPr="00942059" w:rsidRDefault="003E02B6" w:rsidP="00944568">
            <w:pPr>
              <w:rPr>
                <w:rFonts w:ascii="Titillium" w:hAnsi="Titillium"/>
                <w:sz w:val="18"/>
                <w:szCs w:val="18"/>
              </w:rPr>
            </w:pPr>
            <w:r w:rsidRPr="00942059">
              <w:rPr>
                <w:rFonts w:ascii="Titillium" w:hAnsi="Titillium"/>
                <w:sz w:val="18"/>
                <w:szCs w:val="18"/>
              </w:rPr>
              <w:t>Al di sotto del piano di lavoro, agli estremi dello stesso, devono essere previsti una cassettiera delle dimensioni pari a circa cm 60x80x70 (</w:t>
            </w:r>
            <w:proofErr w:type="spellStart"/>
            <w:r w:rsidRPr="00942059">
              <w:rPr>
                <w:rFonts w:ascii="Titillium" w:hAnsi="Titillium"/>
                <w:sz w:val="18"/>
                <w:szCs w:val="18"/>
              </w:rPr>
              <w:t>LxPxH</w:t>
            </w:r>
            <w:proofErr w:type="spellEnd"/>
            <w:r w:rsidRPr="00942059">
              <w:rPr>
                <w:rFonts w:ascii="Titillium" w:hAnsi="Titillium"/>
                <w:sz w:val="18"/>
                <w:szCs w:val="18"/>
              </w:rPr>
              <w:t>) e un mobile contenitore con anta battente completo di ripiano delle dimensioni pari a circa cm 60x80x70 (</w:t>
            </w:r>
            <w:proofErr w:type="spellStart"/>
            <w:r w:rsidRPr="00942059">
              <w:rPr>
                <w:rFonts w:ascii="Titillium" w:hAnsi="Titillium"/>
                <w:sz w:val="18"/>
                <w:szCs w:val="18"/>
              </w:rPr>
              <w:t>LxPxH</w:t>
            </w:r>
            <w:proofErr w:type="spellEnd"/>
            <w:r w:rsidRPr="00942059">
              <w:rPr>
                <w:rFonts w:ascii="Titillium" w:hAnsi="Titillium"/>
                <w:sz w:val="18"/>
                <w:szCs w:val="18"/>
              </w:rPr>
              <w:t>), entrambi realizzati in legno truciolare ad alta densità (classe E1), rivestiti in nobilitato melaminico.</w:t>
            </w:r>
          </w:p>
          <w:p w14:paraId="39D9A67B" w14:textId="77777777" w:rsidR="003E02B6" w:rsidRPr="00942059" w:rsidRDefault="003E02B6" w:rsidP="00944568">
            <w:pPr>
              <w:rPr>
                <w:rFonts w:ascii="Titillium" w:hAnsi="Titillium"/>
                <w:sz w:val="18"/>
                <w:szCs w:val="18"/>
              </w:rPr>
            </w:pPr>
            <w:r w:rsidRPr="00942059">
              <w:rPr>
                <w:rFonts w:ascii="Titillium" w:hAnsi="Titillium"/>
                <w:sz w:val="18"/>
                <w:szCs w:val="18"/>
              </w:rPr>
              <w:t>La prima è costituita da n.3 cassetti</w:t>
            </w:r>
            <w:proofErr w:type="gramStart"/>
            <w:r w:rsidRPr="00942059">
              <w:rPr>
                <w:rFonts w:ascii="Titillium" w:hAnsi="Titillium"/>
                <w:sz w:val="18"/>
                <w:szCs w:val="18"/>
              </w:rPr>
              <w:t>, ,</w:t>
            </w:r>
            <w:proofErr w:type="gramEnd"/>
            <w:r w:rsidRPr="00942059">
              <w:rPr>
                <w:rFonts w:ascii="Titillium" w:hAnsi="Titillium"/>
                <w:sz w:val="18"/>
                <w:szCs w:val="18"/>
              </w:rPr>
              <w:t xml:space="preserve"> dotati di chiusura centralizzata a cilindro estraibile fornito di doppia chiave pieghevole antinfortunistica; detta cassettiera deve presentare guide metalliche di tipo telescopico dotate di cuscinetti a sfera ad estrazione parziale e dispositivo di arresto a fine corsa, nonché deve essere dotata di maniglie “a ponte” o “a gola cava” orizzontale. </w:t>
            </w:r>
          </w:p>
          <w:p w14:paraId="6DD484D6" w14:textId="77777777" w:rsidR="003E02B6" w:rsidRPr="00942059" w:rsidRDefault="003E02B6" w:rsidP="00944568">
            <w:pPr>
              <w:rPr>
                <w:rFonts w:ascii="Titillium" w:hAnsi="Titillium"/>
                <w:sz w:val="18"/>
                <w:szCs w:val="18"/>
              </w:rPr>
            </w:pPr>
            <w:r w:rsidRPr="00942059">
              <w:rPr>
                <w:rFonts w:ascii="Titillium" w:hAnsi="Titillium"/>
                <w:sz w:val="18"/>
                <w:szCs w:val="18"/>
              </w:rPr>
              <w:t>Il mobile contenitore deve avere n.1 anta battente, dotata di chiusura con cilindro estraibile fornito di doppia chiave pieghevole antinfortunistica, di maniglia “a ponte” o “a gola cava” verticale, di cerniere con fissaggio rapido a camma regolabili con apertura ad almeno 110</w:t>
            </w:r>
            <w:proofErr w:type="gramStart"/>
            <w:r w:rsidRPr="00942059">
              <w:rPr>
                <w:rFonts w:ascii="Titillium" w:hAnsi="Titillium"/>
                <w:sz w:val="18"/>
                <w:szCs w:val="18"/>
              </w:rPr>
              <w:t>°;.</w:t>
            </w:r>
            <w:proofErr w:type="gramEnd"/>
            <w:r w:rsidRPr="00942059">
              <w:rPr>
                <w:rFonts w:ascii="Titillium" w:hAnsi="Titillium"/>
                <w:sz w:val="18"/>
                <w:szCs w:val="18"/>
              </w:rPr>
              <w:t xml:space="preserve"> deve altresì essere completo di n.1 ripiano. Le finiture sono da definire in relazione ad una rosa di colori proposta. Il prezzo unitario remunera altresì il trasporto, il tiro in alto, il montaggio, lo smaltimento imballaggi e ogni onere e magistero per fornire il prodotto installato a perfetta regola d’arte.</w:t>
            </w:r>
          </w:p>
        </w:tc>
        <w:tc>
          <w:tcPr>
            <w:tcW w:w="335" w:type="pct"/>
            <w:vAlign w:val="bottom"/>
          </w:tcPr>
          <w:p w14:paraId="0CF902E0"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10" w:type="pct"/>
            <w:vAlign w:val="bottom"/>
          </w:tcPr>
          <w:p w14:paraId="47F00C0A"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2.832,54 €</w:t>
            </w:r>
          </w:p>
        </w:tc>
      </w:tr>
      <w:tr w:rsidR="003E02B6" w:rsidRPr="00942059" w14:paraId="6EDA26B7" w14:textId="77777777" w:rsidTr="00944568">
        <w:trPr>
          <w:trHeight w:val="1134"/>
        </w:trPr>
        <w:tc>
          <w:tcPr>
            <w:tcW w:w="641" w:type="pct"/>
          </w:tcPr>
          <w:p w14:paraId="377964CC" w14:textId="77777777" w:rsidR="003E02B6" w:rsidRPr="00942059" w:rsidRDefault="003E02B6" w:rsidP="00944568">
            <w:pPr>
              <w:rPr>
                <w:rFonts w:ascii="Titillium" w:hAnsi="Titillium"/>
                <w:sz w:val="20"/>
                <w:szCs w:val="18"/>
              </w:rPr>
            </w:pPr>
            <w:r w:rsidRPr="00942059">
              <w:rPr>
                <w:rFonts w:ascii="Titillium" w:hAnsi="Titillium"/>
                <w:b/>
                <w:bCs/>
                <w:sz w:val="20"/>
                <w:szCs w:val="18"/>
              </w:rPr>
              <w:t>REC 02</w:t>
            </w:r>
          </w:p>
        </w:tc>
        <w:tc>
          <w:tcPr>
            <w:tcW w:w="3314" w:type="pct"/>
          </w:tcPr>
          <w:p w14:paraId="471CA98B"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poltrona per l’accoglienza ad un posto. Dotata di struttura in legno e truciolare, telaio di base e piedini di appoggio in acciaio cromato, o in alluminio lucido, o in alluminio verniciato a polveri epossidiche, nonché di imbottitura in poliuretano espanso rivestita in pelle o ecopelle ignifuga, e di braccioli, anch’essi imbottiti in continuità con lo schienale. La poltrona deve possedere una classe di reazione al fuoco pari a 1IM. Le finiture sono da definire in relazione ad una rosa di colori proposta. Il prezzo unitario remunera altresì il trasporto, il tiro in alto, il montaggio, lo smaltimento imballaggi e ogni onere e magistero per fornire il prodotto installato a perfetta regola d’arte.</w:t>
            </w:r>
          </w:p>
        </w:tc>
        <w:tc>
          <w:tcPr>
            <w:tcW w:w="335" w:type="pct"/>
            <w:vAlign w:val="bottom"/>
          </w:tcPr>
          <w:p w14:paraId="31A1259E"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10" w:type="pct"/>
            <w:vAlign w:val="bottom"/>
          </w:tcPr>
          <w:p w14:paraId="0E2CFC5D"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811,59 €</w:t>
            </w:r>
          </w:p>
        </w:tc>
      </w:tr>
    </w:tbl>
    <w:p w14:paraId="22A8C00C" w14:textId="77777777" w:rsidR="00F65CA5" w:rsidRPr="00942059" w:rsidRDefault="00F65CA5">
      <w:r w:rsidRPr="00942059">
        <w:br w:type="page"/>
      </w:r>
    </w:p>
    <w:tbl>
      <w:tblPr>
        <w:tblStyle w:val="Grigliatabella"/>
        <w:tblW w:w="5000" w:type="pct"/>
        <w:tblLook w:val="04A0" w:firstRow="1" w:lastRow="0" w:firstColumn="1" w:lastColumn="0" w:noHBand="0" w:noVBand="1"/>
      </w:tblPr>
      <w:tblGrid>
        <w:gridCol w:w="1830"/>
        <w:gridCol w:w="9463"/>
        <w:gridCol w:w="957"/>
        <w:gridCol w:w="2027"/>
      </w:tblGrid>
      <w:tr w:rsidR="00F65CA5" w:rsidRPr="00942059" w14:paraId="1917699F" w14:textId="77777777" w:rsidTr="00944568">
        <w:trPr>
          <w:trHeight w:val="567"/>
        </w:trPr>
        <w:tc>
          <w:tcPr>
            <w:tcW w:w="641" w:type="pct"/>
            <w:shd w:val="clear" w:color="auto" w:fill="E7E6E6" w:themeFill="background2"/>
            <w:vAlign w:val="center"/>
          </w:tcPr>
          <w:p w14:paraId="7D79EC30" w14:textId="77777777" w:rsidR="00F65CA5" w:rsidRPr="00942059" w:rsidRDefault="00F65CA5" w:rsidP="00944568">
            <w:pPr>
              <w:jc w:val="center"/>
              <w:rPr>
                <w:rFonts w:ascii="Titillium" w:hAnsi="Titillium"/>
                <w:b/>
                <w:bCs/>
                <w:sz w:val="20"/>
                <w:szCs w:val="18"/>
              </w:rPr>
            </w:pPr>
            <w:r w:rsidRPr="00942059">
              <w:rPr>
                <w:rFonts w:ascii="Titillium" w:hAnsi="Titillium"/>
                <w:b/>
                <w:bCs/>
                <w:sz w:val="20"/>
                <w:szCs w:val="18"/>
              </w:rPr>
              <w:lastRenderedPageBreak/>
              <w:t>Codice</w:t>
            </w:r>
          </w:p>
        </w:tc>
        <w:tc>
          <w:tcPr>
            <w:tcW w:w="3314" w:type="pct"/>
            <w:shd w:val="clear" w:color="auto" w:fill="E7E6E6" w:themeFill="background2"/>
            <w:vAlign w:val="center"/>
          </w:tcPr>
          <w:p w14:paraId="4966D5F6" w14:textId="77777777" w:rsidR="00F65CA5" w:rsidRPr="00942059" w:rsidRDefault="00F65CA5" w:rsidP="00944568">
            <w:pPr>
              <w:jc w:val="center"/>
              <w:rPr>
                <w:rFonts w:ascii="Titillium" w:hAnsi="Titillium"/>
                <w:b/>
                <w:bCs/>
                <w:sz w:val="20"/>
                <w:szCs w:val="18"/>
              </w:rPr>
            </w:pPr>
            <w:r w:rsidRPr="00942059">
              <w:rPr>
                <w:rFonts w:ascii="Titillium" w:hAnsi="Titillium"/>
                <w:b/>
                <w:bCs/>
                <w:sz w:val="20"/>
                <w:szCs w:val="18"/>
              </w:rPr>
              <w:t>DESCRIZIONE COMPLETA DEGLI ARREDI</w:t>
            </w:r>
          </w:p>
        </w:tc>
        <w:tc>
          <w:tcPr>
            <w:tcW w:w="335" w:type="pct"/>
            <w:shd w:val="clear" w:color="auto" w:fill="E7E6E6" w:themeFill="background2"/>
            <w:vAlign w:val="center"/>
          </w:tcPr>
          <w:p w14:paraId="092B2732" w14:textId="77777777" w:rsidR="00F65CA5" w:rsidRPr="00942059" w:rsidRDefault="00F65CA5" w:rsidP="00944568">
            <w:pPr>
              <w:jc w:val="center"/>
              <w:rPr>
                <w:rFonts w:ascii="Titillium" w:hAnsi="Titillium"/>
                <w:b/>
                <w:bCs/>
                <w:sz w:val="20"/>
                <w:szCs w:val="18"/>
              </w:rPr>
            </w:pPr>
            <w:r w:rsidRPr="00942059">
              <w:rPr>
                <w:rFonts w:ascii="Titillium" w:hAnsi="Titillium"/>
                <w:b/>
                <w:bCs/>
                <w:sz w:val="20"/>
                <w:szCs w:val="18"/>
              </w:rPr>
              <w:t>U.M.</w:t>
            </w:r>
          </w:p>
        </w:tc>
        <w:tc>
          <w:tcPr>
            <w:tcW w:w="710" w:type="pct"/>
            <w:shd w:val="clear" w:color="auto" w:fill="E7E6E6" w:themeFill="background2"/>
            <w:vAlign w:val="center"/>
          </w:tcPr>
          <w:p w14:paraId="578B610F" w14:textId="77777777" w:rsidR="00F65CA5" w:rsidRPr="00942059" w:rsidRDefault="00F65CA5" w:rsidP="00944568">
            <w:pPr>
              <w:jc w:val="center"/>
              <w:rPr>
                <w:rFonts w:ascii="Titillium" w:hAnsi="Titillium"/>
                <w:b/>
                <w:bCs/>
                <w:sz w:val="20"/>
                <w:szCs w:val="18"/>
              </w:rPr>
            </w:pPr>
            <w:r w:rsidRPr="00942059">
              <w:rPr>
                <w:rFonts w:ascii="Titillium" w:hAnsi="Titillium"/>
                <w:b/>
                <w:bCs/>
                <w:sz w:val="20"/>
                <w:szCs w:val="18"/>
              </w:rPr>
              <w:t>Prezzo Unitario (€)</w:t>
            </w:r>
          </w:p>
        </w:tc>
      </w:tr>
      <w:tr w:rsidR="00F65CA5" w:rsidRPr="00942059" w14:paraId="3A08A6C4" w14:textId="77777777" w:rsidTr="00944568">
        <w:trPr>
          <w:trHeight w:val="567"/>
        </w:trPr>
        <w:tc>
          <w:tcPr>
            <w:tcW w:w="5000" w:type="pct"/>
            <w:gridSpan w:val="4"/>
            <w:shd w:val="clear" w:color="auto" w:fill="auto"/>
            <w:vAlign w:val="center"/>
          </w:tcPr>
          <w:p w14:paraId="323BC531" w14:textId="77777777" w:rsidR="00F65CA5" w:rsidRPr="00942059" w:rsidRDefault="00F65CA5" w:rsidP="00944568">
            <w:pPr>
              <w:rPr>
                <w:rFonts w:ascii="Titillium" w:hAnsi="Titillium"/>
                <w:b/>
                <w:bCs/>
              </w:rPr>
            </w:pPr>
            <w:r w:rsidRPr="00942059">
              <w:rPr>
                <w:rFonts w:ascii="Titillium" w:hAnsi="Titillium"/>
                <w:b/>
                <w:bCs/>
              </w:rPr>
              <w:t xml:space="preserve">Arredi per Area </w:t>
            </w:r>
            <w:r w:rsidRPr="00942059">
              <w:rPr>
                <w:rFonts w:ascii="Titillium" w:hAnsi="Titillium"/>
                <w:b/>
                <w:bCs/>
                <w:i/>
                <w:iCs/>
              </w:rPr>
              <w:t>Reception</w:t>
            </w:r>
            <w:r w:rsidRPr="00942059">
              <w:rPr>
                <w:rFonts w:ascii="Titillium" w:hAnsi="Titillium"/>
                <w:b/>
                <w:bCs/>
              </w:rPr>
              <w:t xml:space="preserve"> e Corridoi</w:t>
            </w:r>
          </w:p>
        </w:tc>
      </w:tr>
      <w:tr w:rsidR="003E02B6" w:rsidRPr="00942059" w14:paraId="1D0F1EB3" w14:textId="77777777" w:rsidTr="00944568">
        <w:trPr>
          <w:trHeight w:val="555"/>
        </w:trPr>
        <w:tc>
          <w:tcPr>
            <w:tcW w:w="641" w:type="pct"/>
          </w:tcPr>
          <w:p w14:paraId="420C3DC1" w14:textId="79A74FAE" w:rsidR="003E02B6" w:rsidRPr="00942059" w:rsidRDefault="003E02B6" w:rsidP="00944568">
            <w:pPr>
              <w:rPr>
                <w:rFonts w:ascii="Titillium" w:hAnsi="Titillium"/>
                <w:sz w:val="20"/>
                <w:szCs w:val="18"/>
              </w:rPr>
            </w:pPr>
            <w:r w:rsidRPr="00942059">
              <w:rPr>
                <w:rFonts w:ascii="Titillium" w:hAnsi="Titillium"/>
                <w:b/>
                <w:bCs/>
                <w:sz w:val="20"/>
                <w:szCs w:val="18"/>
              </w:rPr>
              <w:t>REC 03</w:t>
            </w:r>
          </w:p>
        </w:tc>
        <w:tc>
          <w:tcPr>
            <w:tcW w:w="3314" w:type="pct"/>
          </w:tcPr>
          <w:p w14:paraId="6AA9F7F1"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 tavolino basso circolare delle dimensioni pari a circa cm 50-60x45 (</w:t>
            </w:r>
            <w:proofErr w:type="spellStart"/>
            <w:r w:rsidRPr="00942059">
              <w:rPr>
                <w:rFonts w:ascii="Titillium" w:hAnsi="Titillium"/>
                <w:sz w:val="18"/>
                <w:szCs w:val="18"/>
              </w:rPr>
              <w:t>DxH</w:t>
            </w:r>
            <w:proofErr w:type="spellEnd"/>
            <w:r w:rsidRPr="00942059">
              <w:rPr>
                <w:rFonts w:ascii="Titillium" w:hAnsi="Titillium"/>
                <w:sz w:val="18"/>
                <w:szCs w:val="18"/>
              </w:rPr>
              <w:t>), in vetro temperato, in materiale metallico verniciato a polveri epossidiche, oppure in nobilitato melaminico antiriflesso e antigraffio. Le finiture sono da definire in relazione ad una rosa di colori proposta. Il prezzo unitario remunera altresì il trasporto, il tiro in alto, il montaggio, lo smaltimento imballaggi e ogni onere e magistero per fornire il prodotto installato a perfetta regola d’arte.</w:t>
            </w:r>
          </w:p>
        </w:tc>
        <w:tc>
          <w:tcPr>
            <w:tcW w:w="335" w:type="pct"/>
            <w:vAlign w:val="bottom"/>
          </w:tcPr>
          <w:p w14:paraId="1599C8CC"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10" w:type="pct"/>
            <w:vAlign w:val="bottom"/>
          </w:tcPr>
          <w:p w14:paraId="47B8F155"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288,10 €</w:t>
            </w:r>
          </w:p>
        </w:tc>
      </w:tr>
      <w:tr w:rsidR="003E02B6" w:rsidRPr="00942059" w14:paraId="6EE7A39D" w14:textId="77777777" w:rsidTr="00944568">
        <w:trPr>
          <w:trHeight w:val="556"/>
        </w:trPr>
        <w:tc>
          <w:tcPr>
            <w:tcW w:w="641" w:type="pct"/>
          </w:tcPr>
          <w:p w14:paraId="6819842E" w14:textId="77777777" w:rsidR="003E02B6" w:rsidRPr="00942059" w:rsidRDefault="003E02B6" w:rsidP="00944568">
            <w:pPr>
              <w:rPr>
                <w:rFonts w:ascii="Titillium" w:hAnsi="Titillium"/>
                <w:sz w:val="20"/>
                <w:szCs w:val="18"/>
              </w:rPr>
            </w:pPr>
            <w:r w:rsidRPr="00942059">
              <w:rPr>
                <w:rFonts w:ascii="Titillium" w:hAnsi="Titillium"/>
                <w:b/>
                <w:bCs/>
                <w:sz w:val="20"/>
                <w:szCs w:val="18"/>
              </w:rPr>
              <w:t>REC 04</w:t>
            </w:r>
          </w:p>
        </w:tc>
        <w:tc>
          <w:tcPr>
            <w:tcW w:w="3314" w:type="pct"/>
          </w:tcPr>
          <w:p w14:paraId="35F0B9AB" w14:textId="77777777" w:rsidR="003E02B6" w:rsidRPr="00942059" w:rsidRDefault="003E02B6" w:rsidP="00944568">
            <w:pPr>
              <w:rPr>
                <w:rFonts w:ascii="Titillium" w:hAnsi="Titillium"/>
                <w:sz w:val="18"/>
                <w:szCs w:val="18"/>
              </w:rPr>
            </w:pPr>
            <w:r w:rsidRPr="00942059">
              <w:rPr>
                <w:rFonts w:ascii="Titillium" w:hAnsi="Titillium"/>
                <w:sz w:val="18"/>
                <w:szCs w:val="18"/>
              </w:rPr>
              <w:t>Fornitura e posa in opera di</w:t>
            </w:r>
            <w:r w:rsidRPr="00942059">
              <w:rPr>
                <w:rFonts w:ascii="Titillium" w:hAnsi="Titillium"/>
                <w:i/>
                <w:iCs/>
                <w:sz w:val="18"/>
                <w:szCs w:val="18"/>
              </w:rPr>
              <w:t xml:space="preserve"> </w:t>
            </w:r>
            <w:proofErr w:type="spellStart"/>
            <w:r w:rsidRPr="00942059">
              <w:rPr>
                <w:rFonts w:ascii="Titillium" w:hAnsi="Titillium"/>
                <w:i/>
                <w:iCs/>
                <w:sz w:val="18"/>
                <w:szCs w:val="18"/>
              </w:rPr>
              <w:t>lockers</w:t>
            </w:r>
            <w:proofErr w:type="spellEnd"/>
            <w:r w:rsidRPr="00942059">
              <w:rPr>
                <w:rFonts w:ascii="Titillium" w:hAnsi="Titillium"/>
                <w:sz w:val="18"/>
                <w:szCs w:val="18"/>
              </w:rPr>
              <w:t xml:space="preserve"> delle dimensioni pari a circa cm 45x45x120 (</w:t>
            </w:r>
            <w:proofErr w:type="spellStart"/>
            <w:r w:rsidRPr="00942059">
              <w:rPr>
                <w:rFonts w:ascii="Titillium" w:hAnsi="Titillium"/>
                <w:sz w:val="18"/>
                <w:szCs w:val="18"/>
              </w:rPr>
              <w:t>LxPxH</w:t>
            </w:r>
            <w:proofErr w:type="spellEnd"/>
            <w:r w:rsidRPr="00942059">
              <w:rPr>
                <w:rFonts w:ascii="Titillium" w:hAnsi="Titillium"/>
                <w:sz w:val="18"/>
                <w:szCs w:val="18"/>
              </w:rPr>
              <w:t xml:space="preserve">), deve essere realizzato con pannelli in legno in truciolare (classe E1), con rivestimento su ambo i lati in nobilitato melaminico, bordato con uno spessore pari a circa mm 2. Il modulo è </w:t>
            </w:r>
            <w:proofErr w:type="gramStart"/>
            <w:r w:rsidRPr="00942059">
              <w:rPr>
                <w:rFonts w:ascii="Titillium" w:hAnsi="Titillium"/>
                <w:sz w:val="18"/>
                <w:szCs w:val="18"/>
              </w:rPr>
              <w:t>costituito  da</w:t>
            </w:r>
            <w:proofErr w:type="gramEnd"/>
            <w:r w:rsidRPr="00942059">
              <w:rPr>
                <w:rFonts w:ascii="Titillium" w:hAnsi="Titillium"/>
                <w:sz w:val="18"/>
                <w:szCs w:val="18"/>
              </w:rPr>
              <w:t xml:space="preserve"> n.3 vani completi rispettivamente di anta battente dotate di pomolino, di chiusura a combinazione numerica e di chiusura master, nonché di cerniere con fissaggio rapido a camma regolabili con apertura ad almeno 110°. Inoltre, in corrispondenza della base devono essere presenti almeno n.4 piedini regolabili in altezza. Le finiture sono da definire in relazione ad una rosa di colori proposta. Il prezzo unitario remunera altresì il trasporto, il tiro in alto, il montaggio, lo smaltimento imballaggi e ogni onere e magistero per fornire il prodotto installato a perfetta regola d’arte.</w:t>
            </w:r>
          </w:p>
        </w:tc>
        <w:tc>
          <w:tcPr>
            <w:tcW w:w="335" w:type="pct"/>
            <w:vAlign w:val="bottom"/>
          </w:tcPr>
          <w:p w14:paraId="6F0FB09B" w14:textId="77777777" w:rsidR="003E02B6" w:rsidRPr="00942059" w:rsidRDefault="003E02B6" w:rsidP="00944568">
            <w:pPr>
              <w:jc w:val="center"/>
              <w:rPr>
                <w:rFonts w:ascii="Titillium" w:hAnsi="Titillium"/>
                <w:sz w:val="18"/>
                <w:szCs w:val="18"/>
              </w:rPr>
            </w:pPr>
            <w:r w:rsidRPr="00942059">
              <w:rPr>
                <w:rFonts w:ascii="Titillium" w:hAnsi="Titillium"/>
                <w:sz w:val="18"/>
                <w:szCs w:val="18"/>
              </w:rPr>
              <w:t>cad.</w:t>
            </w:r>
          </w:p>
        </w:tc>
        <w:tc>
          <w:tcPr>
            <w:tcW w:w="710" w:type="pct"/>
            <w:vAlign w:val="bottom"/>
          </w:tcPr>
          <w:p w14:paraId="47F72232" w14:textId="77777777" w:rsidR="003E02B6" w:rsidRPr="00942059" w:rsidRDefault="003E02B6" w:rsidP="00944568">
            <w:pPr>
              <w:jc w:val="right"/>
              <w:rPr>
                <w:rFonts w:ascii="Titillium" w:hAnsi="Titillium"/>
                <w:sz w:val="18"/>
                <w:szCs w:val="18"/>
              </w:rPr>
            </w:pPr>
            <w:r w:rsidRPr="00942059">
              <w:rPr>
                <w:rFonts w:ascii="Titillium" w:hAnsi="Titillium"/>
                <w:sz w:val="18"/>
                <w:szCs w:val="18"/>
              </w:rPr>
              <w:t>491,60 €</w:t>
            </w:r>
          </w:p>
        </w:tc>
      </w:tr>
      <w:bookmarkEnd w:id="26"/>
    </w:tbl>
    <w:p w14:paraId="477CBADE" w14:textId="77777777" w:rsidR="003E02B6" w:rsidRPr="00942059" w:rsidRDefault="003E02B6" w:rsidP="003E02B6">
      <w:pPr>
        <w:rPr>
          <w:rFonts w:ascii="Titillium" w:hAnsi="Titillium"/>
        </w:rPr>
      </w:pPr>
    </w:p>
    <w:p w14:paraId="68B15C47" w14:textId="77777777" w:rsidR="001C74F0" w:rsidRPr="00942059" w:rsidRDefault="001C74F0" w:rsidP="003E02B6">
      <w:pPr>
        <w:rPr>
          <w:rFonts w:ascii="Titillium" w:hAnsi="Titillium"/>
        </w:rPr>
      </w:pPr>
    </w:p>
    <w:p w14:paraId="560705E7" w14:textId="52B79E74" w:rsidR="001C74F0" w:rsidRPr="009C383C" w:rsidRDefault="001C74F0" w:rsidP="001C74F0">
      <w:pPr>
        <w:rPr>
          <w:rFonts w:ascii="Titillium" w:hAnsi="Titillium"/>
        </w:rPr>
      </w:pPr>
      <w:bookmarkStart w:id="28" w:name="_Hlk190424775"/>
      <w:r w:rsidRPr="00942059">
        <w:rPr>
          <w:rFonts w:ascii="Titillium" w:hAnsi="Titillium"/>
        </w:rPr>
        <w:t xml:space="preserve">NB: L’importo </w:t>
      </w:r>
      <w:proofErr w:type="gramStart"/>
      <w:r w:rsidRPr="00942059">
        <w:rPr>
          <w:rFonts w:ascii="Titillium" w:hAnsi="Titillium"/>
          <w:b/>
          <w:iCs/>
        </w:rPr>
        <w:t>P</w:t>
      </w:r>
      <w:r w:rsidRPr="00942059">
        <w:rPr>
          <w:rFonts w:ascii="Titillium" w:hAnsi="Titillium"/>
          <w:b/>
          <w:iCs/>
          <w:vertAlign w:val="subscript"/>
        </w:rPr>
        <w:t>TOT</w:t>
      </w:r>
      <w:r w:rsidRPr="00942059">
        <w:rPr>
          <w:rFonts w:ascii="Titillium" w:hAnsi="Titillium"/>
          <w:b/>
          <w:iCs/>
          <w:position w:val="-6"/>
          <w:vertAlign w:val="subscript"/>
        </w:rPr>
        <w:t>BG</w:t>
      </w:r>
      <w:r w:rsidRPr="00942059">
        <w:rPr>
          <w:rFonts w:ascii="Titillium" w:hAnsi="Titillium"/>
          <w:b/>
          <w:iCs/>
          <w:vertAlign w:val="subscript"/>
        </w:rPr>
        <w:t>,LOTTO</w:t>
      </w:r>
      <w:proofErr w:type="gramEnd"/>
      <w:r w:rsidRPr="00942059">
        <w:rPr>
          <w:rFonts w:ascii="Titillium" w:hAnsi="Titillium"/>
          <w:b/>
          <w:iCs/>
          <w:vertAlign w:val="subscript"/>
        </w:rPr>
        <w:t xml:space="preserve"> 1</w:t>
      </w:r>
      <w:r w:rsidRPr="00942059">
        <w:rPr>
          <w:rFonts w:ascii="Titillium" w:hAnsi="Titillium"/>
          <w:bCs/>
          <w:iCs/>
        </w:rPr>
        <w:t xml:space="preserve"> </w:t>
      </w:r>
      <w:r w:rsidRPr="00942059">
        <w:rPr>
          <w:rFonts w:ascii="Titillium" w:hAnsi="Titillium"/>
        </w:rPr>
        <w:t>corrispondente alla somma dei prezzi unitari posti a base di gara per il Lotto 1 ammonta a € 29.855,39 (euro </w:t>
      </w:r>
      <w:proofErr w:type="spellStart"/>
      <w:r w:rsidRPr="00942059">
        <w:rPr>
          <w:rFonts w:ascii="Titillium" w:hAnsi="Titillium"/>
        </w:rPr>
        <w:t>ventinovemilaottocentocinquantacinque</w:t>
      </w:r>
      <w:proofErr w:type="spellEnd"/>
      <w:r w:rsidRPr="00942059">
        <w:rPr>
          <w:rFonts w:ascii="Titillium" w:hAnsi="Titillium"/>
        </w:rPr>
        <w:t>/39).</w:t>
      </w:r>
      <w:bookmarkEnd w:id="28"/>
    </w:p>
    <w:sectPr w:rsidR="001C74F0" w:rsidRPr="009C383C" w:rsidSect="003E02B6">
      <w:pgSz w:w="16838" w:h="11906" w:orient="landscape" w:code="9"/>
      <w:pgMar w:top="1985"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71979" w14:textId="77777777" w:rsidR="00001FE2" w:rsidRDefault="00001FE2">
      <w:pPr>
        <w:spacing w:line="240" w:lineRule="auto"/>
      </w:pPr>
      <w:r>
        <w:separator/>
      </w:r>
    </w:p>
  </w:endnote>
  <w:endnote w:type="continuationSeparator" w:id="0">
    <w:p w14:paraId="7AC9AAFC" w14:textId="77777777" w:rsidR="00001FE2" w:rsidRDefault="00001F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tillium">
    <w:altName w:val="Calibri"/>
    <w:panose1 w:val="00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0">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Gotham Light">
    <w:altName w:val="Calibri"/>
    <w:panose1 w:val="00000000000000000000"/>
    <w:charset w:val="00"/>
    <w:family w:val="modern"/>
    <w:notTrueType/>
    <w:pitch w:val="variable"/>
    <w:sig w:usb0="A00000AF" w:usb1="50000048" w:usb2="00000000" w:usb3="00000000" w:csb0="00000111" w:csb1="00000000"/>
  </w:font>
  <w:font w:name="Gotham Book">
    <w:altName w:val="Calibri"/>
    <w:panose1 w:val="00000000000000000000"/>
    <w:charset w:val="00"/>
    <w:family w:val="modern"/>
    <w:notTrueType/>
    <w:pitch w:val="variable"/>
    <w:sig w:usb0="A00000AF" w:usb1="50000048" w:usb2="00000000" w:usb3="00000000" w:csb0="00000111" w:csb1="00000000"/>
  </w:font>
  <w:font w:name="Times New Roman (Corpo CS)">
    <w:altName w:val="Times New Roman"/>
    <w:panose1 w:val="00000000000000000000"/>
    <w:charset w:val="00"/>
    <w:family w:val="roman"/>
    <w:notTrueType/>
    <w:pitch w:val="default"/>
  </w:font>
  <w:font w:name="Gotham Medium">
    <w:altName w:val="Calibri"/>
    <w:charset w:val="00"/>
    <w:family w:val="auto"/>
    <w:pitch w:val="variable"/>
    <w:sig w:usb0="800000AF" w:usb1="40000048" w:usb2="00000000" w:usb3="00000000" w:csb0="0000011B" w:csb1="00000000"/>
  </w:font>
  <w:font w:name="Minion Pro">
    <w:altName w:val="Times New Roman"/>
    <w:panose1 w:val="00000000000000000000"/>
    <w:charset w:val="00"/>
    <w:family w:val="roman"/>
    <w:notTrueType/>
    <w:pitch w:val="variable"/>
    <w:sig w:usb0="60000287" w:usb1="00000001" w:usb2="00000000" w:usb3="00000000" w:csb0="0000019F" w:csb1="00000000"/>
  </w:font>
  <w:font w:name="OpenSymbol">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Book-Antiqua,Bold">
    <w:altName w:val="Times New Roman"/>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UAlbertina">
    <w:altName w:val="Times New Roman"/>
    <w:charset w:val="00"/>
    <w:family w:val="roman"/>
    <w:pitch w:val="variable"/>
  </w:font>
  <w:font w:name="Liberation Mono">
    <w:altName w:val="Times New Roman"/>
    <w:charset w:val="00"/>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4B4F0" w14:textId="2B4D1E85" w:rsidR="002E5A26" w:rsidRDefault="002E5A26">
    <w:pPr>
      <w:pStyle w:val="Pidipagina"/>
      <w:spacing w:after="100"/>
      <w:jc w:val="right"/>
    </w:pPr>
    <w:r>
      <w:rPr>
        <w:rFonts w:ascii="Titillium" w:hAnsi="Titillium"/>
        <w:sz w:val="16"/>
        <w:szCs w:val="16"/>
        <w:lang w:val="it-IT"/>
      </w:rPr>
      <w:t xml:space="preserve">Pag. </w:t>
    </w:r>
    <w:r>
      <w:rPr>
        <w:rFonts w:ascii="Titillium" w:hAnsi="Titillium"/>
        <w:b/>
        <w:bCs/>
        <w:sz w:val="16"/>
        <w:szCs w:val="16"/>
      </w:rPr>
      <w:fldChar w:fldCharType="begin"/>
    </w:r>
    <w:r>
      <w:rPr>
        <w:rFonts w:ascii="Titillium" w:hAnsi="Titillium"/>
        <w:b/>
        <w:bCs/>
        <w:sz w:val="16"/>
        <w:szCs w:val="16"/>
      </w:rPr>
      <w:instrText>PAGE</w:instrText>
    </w:r>
    <w:r>
      <w:rPr>
        <w:rFonts w:ascii="Titillium" w:hAnsi="Titillium"/>
        <w:b/>
        <w:bCs/>
        <w:sz w:val="16"/>
        <w:szCs w:val="16"/>
      </w:rPr>
      <w:fldChar w:fldCharType="separate"/>
    </w:r>
    <w:r w:rsidR="00C85664">
      <w:rPr>
        <w:rFonts w:ascii="Titillium" w:hAnsi="Titillium"/>
        <w:b/>
        <w:bCs/>
        <w:noProof/>
        <w:sz w:val="16"/>
        <w:szCs w:val="16"/>
      </w:rPr>
      <w:t>41</w:t>
    </w:r>
    <w:r>
      <w:rPr>
        <w:rFonts w:ascii="Titillium" w:hAnsi="Titillium"/>
        <w:b/>
        <w:bCs/>
        <w:sz w:val="16"/>
        <w:szCs w:val="16"/>
      </w:rPr>
      <w:fldChar w:fldCharType="end"/>
    </w:r>
    <w:r>
      <w:rPr>
        <w:rFonts w:ascii="Titillium" w:hAnsi="Titillium"/>
        <w:sz w:val="16"/>
        <w:szCs w:val="16"/>
        <w:lang w:val="it-IT"/>
      </w:rPr>
      <w:t xml:space="preserve"> a </w:t>
    </w:r>
    <w:r>
      <w:rPr>
        <w:rFonts w:ascii="Titillium" w:hAnsi="Titillium"/>
        <w:b/>
        <w:bCs/>
        <w:sz w:val="16"/>
        <w:szCs w:val="16"/>
      </w:rPr>
      <w:fldChar w:fldCharType="begin"/>
    </w:r>
    <w:r>
      <w:rPr>
        <w:rFonts w:ascii="Titillium" w:hAnsi="Titillium"/>
        <w:b/>
        <w:bCs/>
        <w:sz w:val="16"/>
        <w:szCs w:val="16"/>
      </w:rPr>
      <w:instrText>NUMPAGES</w:instrText>
    </w:r>
    <w:r>
      <w:rPr>
        <w:rFonts w:ascii="Titillium" w:hAnsi="Titillium"/>
        <w:b/>
        <w:bCs/>
        <w:sz w:val="16"/>
        <w:szCs w:val="16"/>
      </w:rPr>
      <w:fldChar w:fldCharType="separate"/>
    </w:r>
    <w:r w:rsidR="00C85664">
      <w:rPr>
        <w:rFonts w:ascii="Titillium" w:hAnsi="Titillium"/>
        <w:b/>
        <w:bCs/>
        <w:noProof/>
        <w:sz w:val="16"/>
        <w:szCs w:val="16"/>
      </w:rPr>
      <w:t>46</w:t>
    </w:r>
    <w:r>
      <w:rPr>
        <w:rFonts w:ascii="Titillium" w:hAnsi="Titillium"/>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829633" w14:textId="77777777" w:rsidR="00001FE2" w:rsidRDefault="00001FE2"/>
  </w:footnote>
  <w:footnote w:type="continuationSeparator" w:id="0">
    <w:p w14:paraId="604C9F63" w14:textId="77777777" w:rsidR="00001FE2" w:rsidRDefault="00001F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7B243" w14:textId="33B9BDF8" w:rsidR="002E5A26" w:rsidRDefault="002F0BFC" w:rsidP="00A7329C">
    <w:pPr>
      <w:pStyle w:val="Intestazione"/>
      <w:spacing w:after="100"/>
    </w:pPr>
    <w:r>
      <w:rPr>
        <w:noProof/>
        <w:lang w:val="it-IT"/>
      </w:rPr>
      <w:drawing>
        <wp:anchor distT="0" distB="0" distL="114300" distR="114300" simplePos="0" relativeHeight="251661312" behindDoc="0" locked="0" layoutInCell="1" allowOverlap="1" wp14:anchorId="2E222D99" wp14:editId="7F2EBD8A">
          <wp:simplePos x="0" y="0"/>
          <wp:positionH relativeFrom="column">
            <wp:posOffset>-83820</wp:posOffset>
          </wp:positionH>
          <wp:positionV relativeFrom="paragraph">
            <wp:posOffset>-212725</wp:posOffset>
          </wp:positionV>
          <wp:extent cx="2804160" cy="1036320"/>
          <wp:effectExtent l="0" t="0" r="0" b="0"/>
          <wp:wrapNone/>
          <wp:docPr id="984233268" name="Immagine 984233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ader_cartaintestata.jpg"/>
                  <pic:cNvPicPr/>
                </pic:nvPicPr>
                <pic:blipFill rotWithShape="1">
                  <a:blip r:embed="rId1">
                    <a:extLst>
                      <a:ext uri="{28A0092B-C50C-407E-A947-70E740481C1C}">
                        <a14:useLocalDpi xmlns:a14="http://schemas.microsoft.com/office/drawing/2010/main" val="0"/>
                      </a:ext>
                    </a:extLst>
                  </a:blip>
                  <a:srcRect l="-710" t="1002" r="14158" b="-14462"/>
                  <a:stretch/>
                </pic:blipFill>
                <pic:spPr bwMode="auto">
                  <a:xfrm>
                    <a:off x="0" y="0"/>
                    <a:ext cx="2804160" cy="103632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41E93"/>
    <w:multiLevelType w:val="hybridMultilevel"/>
    <w:tmpl w:val="0E7E7B50"/>
    <w:lvl w:ilvl="0" w:tplc="FFFFFFFF">
      <w:start w:val="1"/>
      <w:numFmt w:val="decimal"/>
      <w:lvlText w:val="%1)"/>
      <w:lvlJc w:val="left"/>
      <w:pPr>
        <w:ind w:left="1692" w:hanging="360"/>
      </w:pPr>
    </w:lvl>
    <w:lvl w:ilvl="1" w:tplc="FFFFFFFF" w:tentative="1">
      <w:start w:val="1"/>
      <w:numFmt w:val="lowerLetter"/>
      <w:lvlText w:val="%2."/>
      <w:lvlJc w:val="left"/>
      <w:pPr>
        <w:ind w:left="2412" w:hanging="360"/>
      </w:pPr>
    </w:lvl>
    <w:lvl w:ilvl="2" w:tplc="FFFFFFFF" w:tentative="1">
      <w:start w:val="1"/>
      <w:numFmt w:val="lowerRoman"/>
      <w:lvlText w:val="%3."/>
      <w:lvlJc w:val="right"/>
      <w:pPr>
        <w:ind w:left="3132" w:hanging="180"/>
      </w:pPr>
    </w:lvl>
    <w:lvl w:ilvl="3" w:tplc="FFFFFFFF" w:tentative="1">
      <w:start w:val="1"/>
      <w:numFmt w:val="decimal"/>
      <w:lvlText w:val="%4."/>
      <w:lvlJc w:val="left"/>
      <w:pPr>
        <w:ind w:left="3852" w:hanging="360"/>
      </w:pPr>
    </w:lvl>
    <w:lvl w:ilvl="4" w:tplc="FFFFFFFF" w:tentative="1">
      <w:start w:val="1"/>
      <w:numFmt w:val="lowerLetter"/>
      <w:lvlText w:val="%5."/>
      <w:lvlJc w:val="left"/>
      <w:pPr>
        <w:ind w:left="4572" w:hanging="360"/>
      </w:pPr>
    </w:lvl>
    <w:lvl w:ilvl="5" w:tplc="FFFFFFFF" w:tentative="1">
      <w:start w:val="1"/>
      <w:numFmt w:val="lowerRoman"/>
      <w:lvlText w:val="%6."/>
      <w:lvlJc w:val="right"/>
      <w:pPr>
        <w:ind w:left="5292" w:hanging="180"/>
      </w:pPr>
    </w:lvl>
    <w:lvl w:ilvl="6" w:tplc="FFFFFFFF" w:tentative="1">
      <w:start w:val="1"/>
      <w:numFmt w:val="decimal"/>
      <w:lvlText w:val="%7."/>
      <w:lvlJc w:val="left"/>
      <w:pPr>
        <w:ind w:left="6012" w:hanging="360"/>
      </w:pPr>
    </w:lvl>
    <w:lvl w:ilvl="7" w:tplc="FFFFFFFF" w:tentative="1">
      <w:start w:val="1"/>
      <w:numFmt w:val="lowerLetter"/>
      <w:lvlText w:val="%8."/>
      <w:lvlJc w:val="left"/>
      <w:pPr>
        <w:ind w:left="6732" w:hanging="360"/>
      </w:pPr>
    </w:lvl>
    <w:lvl w:ilvl="8" w:tplc="FFFFFFFF" w:tentative="1">
      <w:start w:val="1"/>
      <w:numFmt w:val="lowerRoman"/>
      <w:lvlText w:val="%9."/>
      <w:lvlJc w:val="right"/>
      <w:pPr>
        <w:ind w:left="7452" w:hanging="180"/>
      </w:pPr>
    </w:lvl>
  </w:abstractNum>
  <w:abstractNum w:abstractNumId="1" w15:restartNumberingAfterBreak="0">
    <w:nsid w:val="05E95B78"/>
    <w:multiLevelType w:val="hybridMultilevel"/>
    <w:tmpl w:val="98A684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06A5DF0"/>
    <w:multiLevelType w:val="multilevel"/>
    <w:tmpl w:val="3DD0D4F8"/>
    <w:lvl w:ilvl="0">
      <w:start w:val="1"/>
      <w:numFmt w:val="decimal"/>
      <w:pStyle w:val="Titolo2"/>
      <w:lvlText w:val="I.%1."/>
      <w:lvlJc w:val="left"/>
      <w:pPr>
        <w:ind w:left="360" w:hanging="360"/>
      </w:pPr>
      <w:rPr>
        <w:rFonts w:hint="default"/>
        <w:b/>
        <w:i w:val="0"/>
        <w:sz w:val="18"/>
        <w:szCs w:val="18"/>
      </w:rPr>
    </w:lvl>
    <w:lvl w:ilvl="1">
      <w:start w:val="1"/>
      <w:numFmt w:val="decimal"/>
      <w:lvlText w:val="%1.%2."/>
      <w:lvlJc w:val="left"/>
      <w:pPr>
        <w:ind w:left="792"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23ED61B3"/>
    <w:multiLevelType w:val="hybridMultilevel"/>
    <w:tmpl w:val="6B8E8A12"/>
    <w:lvl w:ilvl="0" w:tplc="04100011">
      <w:start w:val="1"/>
      <w:numFmt w:val="decimal"/>
      <w:lvlText w:val="%1)"/>
      <w:lvlJc w:val="lef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 w15:restartNumberingAfterBreak="0">
    <w:nsid w:val="2539236C"/>
    <w:multiLevelType w:val="hybridMultilevel"/>
    <w:tmpl w:val="0E7E7B50"/>
    <w:lvl w:ilvl="0" w:tplc="04100011">
      <w:start w:val="1"/>
      <w:numFmt w:val="decimal"/>
      <w:lvlText w:val="%1)"/>
      <w:lvlJc w:val="left"/>
      <w:pPr>
        <w:ind w:left="1692" w:hanging="360"/>
      </w:pPr>
    </w:lvl>
    <w:lvl w:ilvl="1" w:tplc="04100019" w:tentative="1">
      <w:start w:val="1"/>
      <w:numFmt w:val="lowerLetter"/>
      <w:lvlText w:val="%2."/>
      <w:lvlJc w:val="left"/>
      <w:pPr>
        <w:ind w:left="2412" w:hanging="360"/>
      </w:pPr>
    </w:lvl>
    <w:lvl w:ilvl="2" w:tplc="0410001B" w:tentative="1">
      <w:start w:val="1"/>
      <w:numFmt w:val="lowerRoman"/>
      <w:lvlText w:val="%3."/>
      <w:lvlJc w:val="right"/>
      <w:pPr>
        <w:ind w:left="3132" w:hanging="180"/>
      </w:pPr>
    </w:lvl>
    <w:lvl w:ilvl="3" w:tplc="0410000F" w:tentative="1">
      <w:start w:val="1"/>
      <w:numFmt w:val="decimal"/>
      <w:lvlText w:val="%4."/>
      <w:lvlJc w:val="left"/>
      <w:pPr>
        <w:ind w:left="3852" w:hanging="360"/>
      </w:pPr>
    </w:lvl>
    <w:lvl w:ilvl="4" w:tplc="04100019" w:tentative="1">
      <w:start w:val="1"/>
      <w:numFmt w:val="lowerLetter"/>
      <w:lvlText w:val="%5."/>
      <w:lvlJc w:val="left"/>
      <w:pPr>
        <w:ind w:left="4572" w:hanging="360"/>
      </w:pPr>
    </w:lvl>
    <w:lvl w:ilvl="5" w:tplc="0410001B" w:tentative="1">
      <w:start w:val="1"/>
      <w:numFmt w:val="lowerRoman"/>
      <w:lvlText w:val="%6."/>
      <w:lvlJc w:val="right"/>
      <w:pPr>
        <w:ind w:left="5292" w:hanging="180"/>
      </w:pPr>
    </w:lvl>
    <w:lvl w:ilvl="6" w:tplc="0410000F" w:tentative="1">
      <w:start w:val="1"/>
      <w:numFmt w:val="decimal"/>
      <w:lvlText w:val="%7."/>
      <w:lvlJc w:val="left"/>
      <w:pPr>
        <w:ind w:left="6012" w:hanging="360"/>
      </w:pPr>
    </w:lvl>
    <w:lvl w:ilvl="7" w:tplc="04100019" w:tentative="1">
      <w:start w:val="1"/>
      <w:numFmt w:val="lowerLetter"/>
      <w:lvlText w:val="%8."/>
      <w:lvlJc w:val="left"/>
      <w:pPr>
        <w:ind w:left="6732" w:hanging="360"/>
      </w:pPr>
    </w:lvl>
    <w:lvl w:ilvl="8" w:tplc="0410001B" w:tentative="1">
      <w:start w:val="1"/>
      <w:numFmt w:val="lowerRoman"/>
      <w:lvlText w:val="%9."/>
      <w:lvlJc w:val="right"/>
      <w:pPr>
        <w:ind w:left="7452" w:hanging="180"/>
      </w:pPr>
    </w:lvl>
  </w:abstractNum>
  <w:abstractNum w:abstractNumId="5" w15:restartNumberingAfterBreak="0">
    <w:nsid w:val="26AD7576"/>
    <w:multiLevelType w:val="hybridMultilevel"/>
    <w:tmpl w:val="FDB0D42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7F1059A"/>
    <w:multiLevelType w:val="hybridMultilevel"/>
    <w:tmpl w:val="0BFC2AE2"/>
    <w:lvl w:ilvl="0" w:tplc="447828FC">
      <w:start w:val="1"/>
      <w:numFmt w:val="decimal"/>
      <w:pStyle w:val="Titolo3"/>
      <w:lvlText w:val="II.%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F103CE3"/>
    <w:multiLevelType w:val="hybridMultilevel"/>
    <w:tmpl w:val="095A0AD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2FB0A83"/>
    <w:multiLevelType w:val="hybridMultilevel"/>
    <w:tmpl w:val="C5641556"/>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354376FA"/>
    <w:multiLevelType w:val="hybridMultilevel"/>
    <w:tmpl w:val="35F6957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B1E3B52"/>
    <w:multiLevelType w:val="hybridMultilevel"/>
    <w:tmpl w:val="9828BD58"/>
    <w:lvl w:ilvl="0" w:tplc="0410000F">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1" w15:restartNumberingAfterBreak="0">
    <w:nsid w:val="40042D5E"/>
    <w:multiLevelType w:val="hybridMultilevel"/>
    <w:tmpl w:val="45B8F214"/>
    <w:lvl w:ilvl="0" w:tplc="04100017">
      <w:start w:val="1"/>
      <w:numFmt w:val="lowerLetter"/>
      <w:lvlText w:val="%1)"/>
      <w:lvlJc w:val="left"/>
      <w:pPr>
        <w:ind w:left="924" w:hanging="56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05D659A"/>
    <w:multiLevelType w:val="hybridMultilevel"/>
    <w:tmpl w:val="3006DE9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43973C87"/>
    <w:multiLevelType w:val="hybridMultilevel"/>
    <w:tmpl w:val="8F1E045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AA159AB"/>
    <w:multiLevelType w:val="hybridMultilevel"/>
    <w:tmpl w:val="7376F8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B9A17A6"/>
    <w:multiLevelType w:val="hybridMultilevel"/>
    <w:tmpl w:val="9B92A272"/>
    <w:lvl w:ilvl="0" w:tplc="A0C8B814">
      <w:start w:val="1"/>
      <w:numFmt w:val="decimal"/>
      <w:pStyle w:val="Stile3parte1"/>
      <w:lvlText w:val="II.%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BAD6A2E"/>
    <w:multiLevelType w:val="hybridMultilevel"/>
    <w:tmpl w:val="243C61D6"/>
    <w:lvl w:ilvl="0" w:tplc="B3F670A6">
      <w:start w:val="1"/>
      <w:numFmt w:val="lowerLetter"/>
      <w:lvlText w:val="%1)"/>
      <w:lvlJc w:val="left"/>
      <w:pPr>
        <w:ind w:left="924" w:hanging="564"/>
      </w:pPr>
      <w:rPr>
        <w:rFonts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E1E1E7B"/>
    <w:multiLevelType w:val="hybridMultilevel"/>
    <w:tmpl w:val="6A547066"/>
    <w:lvl w:ilvl="0" w:tplc="ADE6D488">
      <w:start w:val="2"/>
      <w:numFmt w:val="bullet"/>
      <w:lvlText w:val="-"/>
      <w:lvlJc w:val="left"/>
      <w:pPr>
        <w:ind w:left="1287" w:hanging="360"/>
      </w:pPr>
      <w:rPr>
        <w:rFonts w:ascii="Titillium" w:eastAsia="Times New Roman" w:hAnsi="Titillium" w:cs="Calibri" w:hint="default"/>
      </w:rPr>
    </w:lvl>
    <w:lvl w:ilvl="1" w:tplc="04100001">
      <w:start w:val="1"/>
      <w:numFmt w:val="bullet"/>
      <w:lvlText w:val=""/>
      <w:lvlJc w:val="left"/>
      <w:pPr>
        <w:ind w:left="1440" w:hanging="360"/>
      </w:pPr>
      <w:rPr>
        <w:rFonts w:ascii="Symbol" w:hAnsi="Symbol"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8" w15:restartNumberingAfterBreak="0">
    <w:nsid w:val="4F0405A9"/>
    <w:multiLevelType w:val="hybridMultilevel"/>
    <w:tmpl w:val="45B8F214"/>
    <w:lvl w:ilvl="0" w:tplc="FFFFFFFF">
      <w:start w:val="1"/>
      <w:numFmt w:val="lowerLetter"/>
      <w:lvlText w:val="%1)"/>
      <w:lvlJc w:val="left"/>
      <w:pPr>
        <w:ind w:left="924" w:hanging="56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2EA2479"/>
    <w:multiLevelType w:val="hybridMultilevel"/>
    <w:tmpl w:val="A7A8530A"/>
    <w:lvl w:ilvl="0" w:tplc="041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59DA5161"/>
    <w:multiLevelType w:val="hybridMultilevel"/>
    <w:tmpl w:val="6D78F792"/>
    <w:lvl w:ilvl="0" w:tplc="28D284EC">
      <w:start w:val="1"/>
      <w:numFmt w:val="decimal"/>
      <w:pStyle w:val="Titolo2ParteII"/>
      <w:lvlText w:val="II.%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F1B66EB"/>
    <w:multiLevelType w:val="hybridMultilevel"/>
    <w:tmpl w:val="90ACB2DE"/>
    <w:lvl w:ilvl="0" w:tplc="04100013">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1291B72"/>
    <w:multiLevelType w:val="hybridMultilevel"/>
    <w:tmpl w:val="3FD4145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3910282"/>
    <w:multiLevelType w:val="hybridMultilevel"/>
    <w:tmpl w:val="AA0620DE"/>
    <w:lvl w:ilvl="0" w:tplc="FFFFFFFF">
      <w:start w:val="1"/>
      <w:numFmt w:val="lowerLetter"/>
      <w:lvlText w:val="%1)"/>
      <w:lvlJc w:val="left"/>
      <w:pPr>
        <w:ind w:left="720" w:hanging="360"/>
      </w:pPr>
    </w:lvl>
    <w:lvl w:ilvl="1" w:tplc="FFFFFFFF">
      <w:start w:val="2"/>
      <w:numFmt w:val="bullet"/>
      <w:lvlText w:val="-"/>
      <w:lvlJc w:val="left"/>
      <w:pPr>
        <w:ind w:left="1644" w:hanging="564"/>
      </w:pPr>
      <w:rPr>
        <w:rFonts w:ascii="Titillium" w:eastAsia="Times New Roman" w:hAnsi="Titillium" w:cs="Calibri" w:hint="default"/>
      </w:r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B2D7D99"/>
    <w:multiLevelType w:val="hybridMultilevel"/>
    <w:tmpl w:val="505664B0"/>
    <w:lvl w:ilvl="0" w:tplc="0410000F">
      <w:start w:val="1"/>
      <w:numFmt w:val="decimal"/>
      <w:lvlText w:val="%1."/>
      <w:lvlJc w:val="left"/>
      <w:pPr>
        <w:ind w:left="924" w:hanging="56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BB370A5"/>
    <w:multiLevelType w:val="hybridMultilevel"/>
    <w:tmpl w:val="45B8F214"/>
    <w:lvl w:ilvl="0" w:tplc="FFFFFFFF">
      <w:start w:val="1"/>
      <w:numFmt w:val="lowerLetter"/>
      <w:lvlText w:val="%1)"/>
      <w:lvlJc w:val="left"/>
      <w:pPr>
        <w:ind w:left="924" w:hanging="564"/>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E7D7B96"/>
    <w:multiLevelType w:val="hybridMultilevel"/>
    <w:tmpl w:val="EF508C5E"/>
    <w:lvl w:ilvl="0" w:tplc="548C08EA">
      <w:start w:val="1"/>
      <w:numFmt w:val="decimal"/>
      <w:lvlText w:val="%1."/>
      <w:lvlJc w:val="left"/>
      <w:pPr>
        <w:ind w:left="720" w:hanging="360"/>
      </w:pPr>
      <w:rPr>
        <w:rFonts w:hint="default"/>
        <w:b w:val="0"/>
        <w:bCs/>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EF16AC8"/>
    <w:multiLevelType w:val="hybridMultilevel"/>
    <w:tmpl w:val="8C368022"/>
    <w:lvl w:ilvl="0" w:tplc="75F22C08">
      <w:start w:val="1"/>
      <w:numFmt w:val="lowerLetter"/>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28" w15:restartNumberingAfterBreak="0">
    <w:nsid w:val="76944FA3"/>
    <w:multiLevelType w:val="hybridMultilevel"/>
    <w:tmpl w:val="AA0620DE"/>
    <w:lvl w:ilvl="0" w:tplc="04100017">
      <w:start w:val="1"/>
      <w:numFmt w:val="lowerLetter"/>
      <w:lvlText w:val="%1)"/>
      <w:lvlJc w:val="left"/>
      <w:pPr>
        <w:ind w:left="720" w:hanging="360"/>
      </w:pPr>
    </w:lvl>
    <w:lvl w:ilvl="1" w:tplc="ADE6D488">
      <w:start w:val="2"/>
      <w:numFmt w:val="bullet"/>
      <w:lvlText w:val="-"/>
      <w:lvlJc w:val="left"/>
      <w:pPr>
        <w:ind w:left="1644" w:hanging="564"/>
      </w:pPr>
      <w:rPr>
        <w:rFonts w:ascii="Titillium" w:eastAsia="Times New Roman" w:hAnsi="Titillium" w:cs="Calibri" w:hint="default"/>
      </w:rPr>
    </w:lvl>
    <w:lvl w:ilvl="2" w:tplc="6A048514">
      <w:start w:val="1"/>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8"/>
  </w:num>
  <w:num w:numId="3">
    <w:abstractNumId w:val="3"/>
  </w:num>
  <w:num w:numId="4">
    <w:abstractNumId w:val="5"/>
  </w:num>
  <w:num w:numId="5">
    <w:abstractNumId w:val="16"/>
  </w:num>
  <w:num w:numId="6">
    <w:abstractNumId w:val="28"/>
  </w:num>
  <w:num w:numId="7">
    <w:abstractNumId w:val="1"/>
  </w:num>
  <w:num w:numId="8">
    <w:abstractNumId w:val="7"/>
  </w:num>
  <w:num w:numId="9">
    <w:abstractNumId w:val="9"/>
  </w:num>
  <w:num w:numId="10">
    <w:abstractNumId w:val="12"/>
  </w:num>
  <w:num w:numId="11">
    <w:abstractNumId w:val="11"/>
  </w:num>
  <w:num w:numId="12">
    <w:abstractNumId w:val="24"/>
  </w:num>
  <w:num w:numId="13">
    <w:abstractNumId w:val="25"/>
  </w:num>
  <w:num w:numId="14">
    <w:abstractNumId w:val="18"/>
  </w:num>
  <w:num w:numId="15">
    <w:abstractNumId w:val="4"/>
  </w:num>
  <w:num w:numId="16">
    <w:abstractNumId w:val="13"/>
  </w:num>
  <w:num w:numId="17">
    <w:abstractNumId w:val="19"/>
  </w:num>
  <w:num w:numId="18">
    <w:abstractNumId w:val="21"/>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6"/>
  </w:num>
  <w:num w:numId="22">
    <w:abstractNumId w:val="15"/>
  </w:num>
  <w:num w:numId="23">
    <w:abstractNumId w:val="22"/>
  </w:num>
  <w:num w:numId="24">
    <w:abstractNumId w:val="27"/>
  </w:num>
  <w:num w:numId="25">
    <w:abstractNumId w:val="10"/>
  </w:num>
  <w:num w:numId="26">
    <w:abstractNumId w:val="26"/>
  </w:num>
  <w:num w:numId="27">
    <w:abstractNumId w:val="0"/>
  </w:num>
  <w:num w:numId="28">
    <w:abstractNumId w:val="17"/>
  </w:num>
  <w:num w:numId="29">
    <w:abstractNumId w:val="23"/>
  </w:num>
  <w:num w:numId="30">
    <w:abstractNumId w:val="1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it-IT" w:vendorID="64" w:dllVersion="6" w:nlCheck="1" w:checkStyle="0"/>
  <w:activeWritingStyle w:appName="MSWord" w:lang="it-IT" w:vendorID="64" w:dllVersion="0" w:nlCheck="1" w:checkStyle="0"/>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283"/>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53A8"/>
    <w:rsid w:val="00001CF6"/>
    <w:rsid w:val="00001FE2"/>
    <w:rsid w:val="0000286C"/>
    <w:rsid w:val="000047CD"/>
    <w:rsid w:val="00005305"/>
    <w:rsid w:val="00005387"/>
    <w:rsid w:val="0000590E"/>
    <w:rsid w:val="00005EEC"/>
    <w:rsid w:val="00006719"/>
    <w:rsid w:val="0000749D"/>
    <w:rsid w:val="00007B56"/>
    <w:rsid w:val="00007C62"/>
    <w:rsid w:val="0001092B"/>
    <w:rsid w:val="0001096E"/>
    <w:rsid w:val="00011AE0"/>
    <w:rsid w:val="00011FE4"/>
    <w:rsid w:val="00012AFC"/>
    <w:rsid w:val="00012ECB"/>
    <w:rsid w:val="000148A7"/>
    <w:rsid w:val="00014D3A"/>
    <w:rsid w:val="000154AA"/>
    <w:rsid w:val="00015956"/>
    <w:rsid w:val="00015BBF"/>
    <w:rsid w:val="0001616C"/>
    <w:rsid w:val="000169E9"/>
    <w:rsid w:val="00016C14"/>
    <w:rsid w:val="00017161"/>
    <w:rsid w:val="00020023"/>
    <w:rsid w:val="00020DDD"/>
    <w:rsid w:val="0002185F"/>
    <w:rsid w:val="00021D35"/>
    <w:rsid w:val="0002232C"/>
    <w:rsid w:val="0002298D"/>
    <w:rsid w:val="00022A02"/>
    <w:rsid w:val="00022B58"/>
    <w:rsid w:val="0002365A"/>
    <w:rsid w:val="00023D01"/>
    <w:rsid w:val="00025169"/>
    <w:rsid w:val="00026D9F"/>
    <w:rsid w:val="0002766E"/>
    <w:rsid w:val="00027CD0"/>
    <w:rsid w:val="000306BE"/>
    <w:rsid w:val="000315E8"/>
    <w:rsid w:val="00032F35"/>
    <w:rsid w:val="0003597C"/>
    <w:rsid w:val="00036784"/>
    <w:rsid w:val="000404C0"/>
    <w:rsid w:val="00041185"/>
    <w:rsid w:val="00041A5C"/>
    <w:rsid w:val="00042229"/>
    <w:rsid w:val="00043CAA"/>
    <w:rsid w:val="00044072"/>
    <w:rsid w:val="00045B07"/>
    <w:rsid w:val="00045D47"/>
    <w:rsid w:val="0004614B"/>
    <w:rsid w:val="0004696D"/>
    <w:rsid w:val="000475A1"/>
    <w:rsid w:val="00050774"/>
    <w:rsid w:val="00051128"/>
    <w:rsid w:val="00052E2F"/>
    <w:rsid w:val="00052FD6"/>
    <w:rsid w:val="000533E9"/>
    <w:rsid w:val="00053C3C"/>
    <w:rsid w:val="000572D6"/>
    <w:rsid w:val="0006009F"/>
    <w:rsid w:val="0006146F"/>
    <w:rsid w:val="00061583"/>
    <w:rsid w:val="00061F4E"/>
    <w:rsid w:val="00063BB7"/>
    <w:rsid w:val="00063F16"/>
    <w:rsid w:val="000654DF"/>
    <w:rsid w:val="00065688"/>
    <w:rsid w:val="00065D5F"/>
    <w:rsid w:val="0006616F"/>
    <w:rsid w:val="00066EEF"/>
    <w:rsid w:val="0006740A"/>
    <w:rsid w:val="00070045"/>
    <w:rsid w:val="00072450"/>
    <w:rsid w:val="00073ACB"/>
    <w:rsid w:val="0007464E"/>
    <w:rsid w:val="00074B74"/>
    <w:rsid w:val="00074F92"/>
    <w:rsid w:val="00075791"/>
    <w:rsid w:val="0007641C"/>
    <w:rsid w:val="000768A4"/>
    <w:rsid w:val="000769BB"/>
    <w:rsid w:val="00077878"/>
    <w:rsid w:val="00080520"/>
    <w:rsid w:val="00082A7D"/>
    <w:rsid w:val="00082D01"/>
    <w:rsid w:val="00082FB9"/>
    <w:rsid w:val="000848D4"/>
    <w:rsid w:val="00084AD6"/>
    <w:rsid w:val="000853BC"/>
    <w:rsid w:val="00085A6E"/>
    <w:rsid w:val="000871A0"/>
    <w:rsid w:val="000905D4"/>
    <w:rsid w:val="00090AED"/>
    <w:rsid w:val="00090B93"/>
    <w:rsid w:val="0009275D"/>
    <w:rsid w:val="0009290B"/>
    <w:rsid w:val="00092FE3"/>
    <w:rsid w:val="00093C46"/>
    <w:rsid w:val="00093DF9"/>
    <w:rsid w:val="0009403D"/>
    <w:rsid w:val="000947B4"/>
    <w:rsid w:val="000947B7"/>
    <w:rsid w:val="000953BD"/>
    <w:rsid w:val="00095947"/>
    <w:rsid w:val="000A02C0"/>
    <w:rsid w:val="000A09BF"/>
    <w:rsid w:val="000A0F80"/>
    <w:rsid w:val="000A1948"/>
    <w:rsid w:val="000A1C94"/>
    <w:rsid w:val="000A2417"/>
    <w:rsid w:val="000A29E8"/>
    <w:rsid w:val="000A3996"/>
    <w:rsid w:val="000A5602"/>
    <w:rsid w:val="000A607C"/>
    <w:rsid w:val="000A7AA0"/>
    <w:rsid w:val="000A7FAA"/>
    <w:rsid w:val="000B0721"/>
    <w:rsid w:val="000B19D5"/>
    <w:rsid w:val="000B28F4"/>
    <w:rsid w:val="000B4186"/>
    <w:rsid w:val="000B4A42"/>
    <w:rsid w:val="000B4B98"/>
    <w:rsid w:val="000B4D3E"/>
    <w:rsid w:val="000B53F9"/>
    <w:rsid w:val="000B54FB"/>
    <w:rsid w:val="000B5DCB"/>
    <w:rsid w:val="000B6B67"/>
    <w:rsid w:val="000C035F"/>
    <w:rsid w:val="000C113D"/>
    <w:rsid w:val="000C293E"/>
    <w:rsid w:val="000C29CD"/>
    <w:rsid w:val="000C344B"/>
    <w:rsid w:val="000C3B1A"/>
    <w:rsid w:val="000C3CD6"/>
    <w:rsid w:val="000C4273"/>
    <w:rsid w:val="000C48D2"/>
    <w:rsid w:val="000C4D3B"/>
    <w:rsid w:val="000C7063"/>
    <w:rsid w:val="000C70DE"/>
    <w:rsid w:val="000C7B97"/>
    <w:rsid w:val="000C7C37"/>
    <w:rsid w:val="000D03DB"/>
    <w:rsid w:val="000D10B9"/>
    <w:rsid w:val="000D2516"/>
    <w:rsid w:val="000D2AC1"/>
    <w:rsid w:val="000D3551"/>
    <w:rsid w:val="000D4913"/>
    <w:rsid w:val="000D49E9"/>
    <w:rsid w:val="000D5C7D"/>
    <w:rsid w:val="000D6246"/>
    <w:rsid w:val="000D68B4"/>
    <w:rsid w:val="000D756B"/>
    <w:rsid w:val="000D7D34"/>
    <w:rsid w:val="000D7F75"/>
    <w:rsid w:val="000E03DA"/>
    <w:rsid w:val="000E07E4"/>
    <w:rsid w:val="000E0900"/>
    <w:rsid w:val="000E0A13"/>
    <w:rsid w:val="000E0E7C"/>
    <w:rsid w:val="000E154E"/>
    <w:rsid w:val="000E2446"/>
    <w:rsid w:val="000E45B5"/>
    <w:rsid w:val="000E51B3"/>
    <w:rsid w:val="000E63DD"/>
    <w:rsid w:val="000E65AD"/>
    <w:rsid w:val="000E719C"/>
    <w:rsid w:val="000E7F3A"/>
    <w:rsid w:val="000F04A8"/>
    <w:rsid w:val="000F1101"/>
    <w:rsid w:val="000F12B6"/>
    <w:rsid w:val="000F1336"/>
    <w:rsid w:val="000F205C"/>
    <w:rsid w:val="000F2975"/>
    <w:rsid w:val="000F2BBF"/>
    <w:rsid w:val="000F2CA8"/>
    <w:rsid w:val="000F3274"/>
    <w:rsid w:val="000F38A8"/>
    <w:rsid w:val="000F4352"/>
    <w:rsid w:val="000F4400"/>
    <w:rsid w:val="000F5777"/>
    <w:rsid w:val="000F70E7"/>
    <w:rsid w:val="000F7A04"/>
    <w:rsid w:val="00100922"/>
    <w:rsid w:val="001011A5"/>
    <w:rsid w:val="00101A51"/>
    <w:rsid w:val="001030AC"/>
    <w:rsid w:val="001035D6"/>
    <w:rsid w:val="00103C1C"/>
    <w:rsid w:val="00103CF8"/>
    <w:rsid w:val="00104CE7"/>
    <w:rsid w:val="001051E3"/>
    <w:rsid w:val="00105A65"/>
    <w:rsid w:val="00105D90"/>
    <w:rsid w:val="00106210"/>
    <w:rsid w:val="00106389"/>
    <w:rsid w:val="001072FF"/>
    <w:rsid w:val="00107305"/>
    <w:rsid w:val="00110D10"/>
    <w:rsid w:val="00115049"/>
    <w:rsid w:val="00115987"/>
    <w:rsid w:val="00116F1A"/>
    <w:rsid w:val="0011773C"/>
    <w:rsid w:val="00117EC7"/>
    <w:rsid w:val="00120414"/>
    <w:rsid w:val="001215DB"/>
    <w:rsid w:val="00121698"/>
    <w:rsid w:val="0012169D"/>
    <w:rsid w:val="001216A9"/>
    <w:rsid w:val="00121CA0"/>
    <w:rsid w:val="00121CDF"/>
    <w:rsid w:val="00122B2F"/>
    <w:rsid w:val="001233BE"/>
    <w:rsid w:val="00123D7B"/>
    <w:rsid w:val="001249BA"/>
    <w:rsid w:val="0012543D"/>
    <w:rsid w:val="00125A3E"/>
    <w:rsid w:val="00125C63"/>
    <w:rsid w:val="00125E51"/>
    <w:rsid w:val="00125E94"/>
    <w:rsid w:val="001261F2"/>
    <w:rsid w:val="00126603"/>
    <w:rsid w:val="00126AD6"/>
    <w:rsid w:val="00127FE8"/>
    <w:rsid w:val="00130942"/>
    <w:rsid w:val="001317BF"/>
    <w:rsid w:val="001322C5"/>
    <w:rsid w:val="00135597"/>
    <w:rsid w:val="0013560D"/>
    <w:rsid w:val="001359F2"/>
    <w:rsid w:val="00137CF3"/>
    <w:rsid w:val="00140135"/>
    <w:rsid w:val="00140144"/>
    <w:rsid w:val="001410AB"/>
    <w:rsid w:val="001410B1"/>
    <w:rsid w:val="00141178"/>
    <w:rsid w:val="001415DE"/>
    <w:rsid w:val="00141DDC"/>
    <w:rsid w:val="00142B21"/>
    <w:rsid w:val="00143299"/>
    <w:rsid w:val="001438AF"/>
    <w:rsid w:val="00143EE6"/>
    <w:rsid w:val="00144709"/>
    <w:rsid w:val="00144EA0"/>
    <w:rsid w:val="001458F9"/>
    <w:rsid w:val="001463BD"/>
    <w:rsid w:val="00147093"/>
    <w:rsid w:val="001519F3"/>
    <w:rsid w:val="00151A88"/>
    <w:rsid w:val="001561AC"/>
    <w:rsid w:val="00156B0B"/>
    <w:rsid w:val="001577D6"/>
    <w:rsid w:val="00163063"/>
    <w:rsid w:val="0016318E"/>
    <w:rsid w:val="00163750"/>
    <w:rsid w:val="00164600"/>
    <w:rsid w:val="0016518A"/>
    <w:rsid w:val="0016603A"/>
    <w:rsid w:val="001664D7"/>
    <w:rsid w:val="00166536"/>
    <w:rsid w:val="00166E44"/>
    <w:rsid w:val="00170F3D"/>
    <w:rsid w:val="001724C4"/>
    <w:rsid w:val="001726D9"/>
    <w:rsid w:val="00172914"/>
    <w:rsid w:val="00172A3E"/>
    <w:rsid w:val="00173255"/>
    <w:rsid w:val="00173996"/>
    <w:rsid w:val="00174B47"/>
    <w:rsid w:val="00174E7A"/>
    <w:rsid w:val="00175117"/>
    <w:rsid w:val="0017789F"/>
    <w:rsid w:val="00177B1B"/>
    <w:rsid w:val="00177E1D"/>
    <w:rsid w:val="00181707"/>
    <w:rsid w:val="00181A06"/>
    <w:rsid w:val="00182618"/>
    <w:rsid w:val="001828F9"/>
    <w:rsid w:val="00182EDC"/>
    <w:rsid w:val="00183A3F"/>
    <w:rsid w:val="001841C2"/>
    <w:rsid w:val="00184ABD"/>
    <w:rsid w:val="0018776B"/>
    <w:rsid w:val="0018777F"/>
    <w:rsid w:val="00187BF3"/>
    <w:rsid w:val="0019010B"/>
    <w:rsid w:val="001905D0"/>
    <w:rsid w:val="00191694"/>
    <w:rsid w:val="001918F9"/>
    <w:rsid w:val="00191C9C"/>
    <w:rsid w:val="00191F8E"/>
    <w:rsid w:val="00193D39"/>
    <w:rsid w:val="00194893"/>
    <w:rsid w:val="00194F94"/>
    <w:rsid w:val="001A0A46"/>
    <w:rsid w:val="001A1EAD"/>
    <w:rsid w:val="001A23C2"/>
    <w:rsid w:val="001A30AE"/>
    <w:rsid w:val="001A3B2D"/>
    <w:rsid w:val="001A53BE"/>
    <w:rsid w:val="001A55DC"/>
    <w:rsid w:val="001A597D"/>
    <w:rsid w:val="001A5D7F"/>
    <w:rsid w:val="001A646D"/>
    <w:rsid w:val="001A6E36"/>
    <w:rsid w:val="001B0323"/>
    <w:rsid w:val="001B2459"/>
    <w:rsid w:val="001B3B5C"/>
    <w:rsid w:val="001B44C8"/>
    <w:rsid w:val="001B5A3D"/>
    <w:rsid w:val="001B6072"/>
    <w:rsid w:val="001B6107"/>
    <w:rsid w:val="001B794D"/>
    <w:rsid w:val="001B7E2D"/>
    <w:rsid w:val="001C08AC"/>
    <w:rsid w:val="001C0A88"/>
    <w:rsid w:val="001C2F72"/>
    <w:rsid w:val="001C43A2"/>
    <w:rsid w:val="001C4451"/>
    <w:rsid w:val="001C4E21"/>
    <w:rsid w:val="001C4E7B"/>
    <w:rsid w:val="001C5268"/>
    <w:rsid w:val="001C532C"/>
    <w:rsid w:val="001C5BF7"/>
    <w:rsid w:val="001C5FCC"/>
    <w:rsid w:val="001C67CA"/>
    <w:rsid w:val="001C67D4"/>
    <w:rsid w:val="001C74F0"/>
    <w:rsid w:val="001C761C"/>
    <w:rsid w:val="001C7A71"/>
    <w:rsid w:val="001D0280"/>
    <w:rsid w:val="001D0EFD"/>
    <w:rsid w:val="001D23DD"/>
    <w:rsid w:val="001D2D9F"/>
    <w:rsid w:val="001D2DA9"/>
    <w:rsid w:val="001D3CF1"/>
    <w:rsid w:val="001D5E41"/>
    <w:rsid w:val="001D7C6D"/>
    <w:rsid w:val="001E0693"/>
    <w:rsid w:val="001E2327"/>
    <w:rsid w:val="001E2823"/>
    <w:rsid w:val="001E2C1D"/>
    <w:rsid w:val="001E3338"/>
    <w:rsid w:val="001E5A75"/>
    <w:rsid w:val="001E62AF"/>
    <w:rsid w:val="001E66DA"/>
    <w:rsid w:val="001E6C53"/>
    <w:rsid w:val="001E6E98"/>
    <w:rsid w:val="001E726B"/>
    <w:rsid w:val="001F0977"/>
    <w:rsid w:val="001F0A54"/>
    <w:rsid w:val="001F0EAF"/>
    <w:rsid w:val="001F12D6"/>
    <w:rsid w:val="001F1B22"/>
    <w:rsid w:val="001F3065"/>
    <w:rsid w:val="001F337C"/>
    <w:rsid w:val="001F3A0A"/>
    <w:rsid w:val="001F43C6"/>
    <w:rsid w:val="001F523C"/>
    <w:rsid w:val="001F5A19"/>
    <w:rsid w:val="001F5D8F"/>
    <w:rsid w:val="001F5E45"/>
    <w:rsid w:val="001F5E5C"/>
    <w:rsid w:val="001F610A"/>
    <w:rsid w:val="001F63D3"/>
    <w:rsid w:val="001F64AE"/>
    <w:rsid w:val="001F6690"/>
    <w:rsid w:val="001F6795"/>
    <w:rsid w:val="002002E4"/>
    <w:rsid w:val="00200532"/>
    <w:rsid w:val="0020113E"/>
    <w:rsid w:val="00201412"/>
    <w:rsid w:val="002015D9"/>
    <w:rsid w:val="00201D7F"/>
    <w:rsid w:val="0020371D"/>
    <w:rsid w:val="00203B5A"/>
    <w:rsid w:val="00204C10"/>
    <w:rsid w:val="0020595A"/>
    <w:rsid w:val="00205E05"/>
    <w:rsid w:val="00207D3F"/>
    <w:rsid w:val="00210885"/>
    <w:rsid w:val="00214043"/>
    <w:rsid w:val="00214C08"/>
    <w:rsid w:val="002152BA"/>
    <w:rsid w:val="00215BB5"/>
    <w:rsid w:val="00216767"/>
    <w:rsid w:val="00216DE8"/>
    <w:rsid w:val="00216F24"/>
    <w:rsid w:val="00217446"/>
    <w:rsid w:val="00220822"/>
    <w:rsid w:val="00220A5E"/>
    <w:rsid w:val="0022153A"/>
    <w:rsid w:val="00221BBA"/>
    <w:rsid w:val="00221D85"/>
    <w:rsid w:val="0022315E"/>
    <w:rsid w:val="00223E3F"/>
    <w:rsid w:val="00224AD8"/>
    <w:rsid w:val="0022526B"/>
    <w:rsid w:val="002275B9"/>
    <w:rsid w:val="00233A66"/>
    <w:rsid w:val="00233C48"/>
    <w:rsid w:val="00235BC8"/>
    <w:rsid w:val="00235D1B"/>
    <w:rsid w:val="00240D8E"/>
    <w:rsid w:val="002414F0"/>
    <w:rsid w:val="00242213"/>
    <w:rsid w:val="00242B24"/>
    <w:rsid w:val="0024334B"/>
    <w:rsid w:val="00243A6C"/>
    <w:rsid w:val="00247025"/>
    <w:rsid w:val="0024711D"/>
    <w:rsid w:val="002478E9"/>
    <w:rsid w:val="00247D10"/>
    <w:rsid w:val="002507BD"/>
    <w:rsid w:val="0025160B"/>
    <w:rsid w:val="00251B11"/>
    <w:rsid w:val="00251D99"/>
    <w:rsid w:val="00251FA4"/>
    <w:rsid w:val="00252C0A"/>
    <w:rsid w:val="0025449B"/>
    <w:rsid w:val="00254D96"/>
    <w:rsid w:val="0025573B"/>
    <w:rsid w:val="00255D0E"/>
    <w:rsid w:val="00257213"/>
    <w:rsid w:val="0025753E"/>
    <w:rsid w:val="00257984"/>
    <w:rsid w:val="00260794"/>
    <w:rsid w:val="00262C8D"/>
    <w:rsid w:val="00262CBC"/>
    <w:rsid w:val="00263959"/>
    <w:rsid w:val="00264A28"/>
    <w:rsid w:val="002654AD"/>
    <w:rsid w:val="002678CB"/>
    <w:rsid w:val="0027055D"/>
    <w:rsid w:val="00270975"/>
    <w:rsid w:val="00270FDF"/>
    <w:rsid w:val="002712AE"/>
    <w:rsid w:val="002721FB"/>
    <w:rsid w:val="0027239B"/>
    <w:rsid w:val="00272736"/>
    <w:rsid w:val="00273977"/>
    <w:rsid w:val="00275003"/>
    <w:rsid w:val="00276D70"/>
    <w:rsid w:val="00277137"/>
    <w:rsid w:val="002810C7"/>
    <w:rsid w:val="00282DEC"/>
    <w:rsid w:val="00284063"/>
    <w:rsid w:val="00284D01"/>
    <w:rsid w:val="0028556D"/>
    <w:rsid w:val="002859D0"/>
    <w:rsid w:val="00287174"/>
    <w:rsid w:val="002874DB"/>
    <w:rsid w:val="00290A8B"/>
    <w:rsid w:val="00291685"/>
    <w:rsid w:val="00292AC2"/>
    <w:rsid w:val="002A0C7E"/>
    <w:rsid w:val="002A39BA"/>
    <w:rsid w:val="002A43C4"/>
    <w:rsid w:val="002A4654"/>
    <w:rsid w:val="002A5164"/>
    <w:rsid w:val="002A5EF6"/>
    <w:rsid w:val="002A6CE4"/>
    <w:rsid w:val="002A7184"/>
    <w:rsid w:val="002A721F"/>
    <w:rsid w:val="002A792A"/>
    <w:rsid w:val="002B01AA"/>
    <w:rsid w:val="002B0ABA"/>
    <w:rsid w:val="002B16FD"/>
    <w:rsid w:val="002B1BF0"/>
    <w:rsid w:val="002B24B8"/>
    <w:rsid w:val="002B3ED8"/>
    <w:rsid w:val="002B4818"/>
    <w:rsid w:val="002B5D6A"/>
    <w:rsid w:val="002B60EA"/>
    <w:rsid w:val="002B6867"/>
    <w:rsid w:val="002B6D7A"/>
    <w:rsid w:val="002B7160"/>
    <w:rsid w:val="002B7172"/>
    <w:rsid w:val="002B735D"/>
    <w:rsid w:val="002B7D94"/>
    <w:rsid w:val="002C2E0E"/>
    <w:rsid w:val="002C4499"/>
    <w:rsid w:val="002C4F50"/>
    <w:rsid w:val="002C56BF"/>
    <w:rsid w:val="002C5C08"/>
    <w:rsid w:val="002C5CD2"/>
    <w:rsid w:val="002C66E4"/>
    <w:rsid w:val="002C69B7"/>
    <w:rsid w:val="002D01A4"/>
    <w:rsid w:val="002D04ED"/>
    <w:rsid w:val="002D14E7"/>
    <w:rsid w:val="002D18F0"/>
    <w:rsid w:val="002D22FA"/>
    <w:rsid w:val="002D29EE"/>
    <w:rsid w:val="002D3A34"/>
    <w:rsid w:val="002D3A79"/>
    <w:rsid w:val="002D62C2"/>
    <w:rsid w:val="002D6C21"/>
    <w:rsid w:val="002D6EEC"/>
    <w:rsid w:val="002D74E2"/>
    <w:rsid w:val="002E0081"/>
    <w:rsid w:val="002E0FAF"/>
    <w:rsid w:val="002E1377"/>
    <w:rsid w:val="002E16E5"/>
    <w:rsid w:val="002E18F3"/>
    <w:rsid w:val="002E195F"/>
    <w:rsid w:val="002E3871"/>
    <w:rsid w:val="002E4529"/>
    <w:rsid w:val="002E49E9"/>
    <w:rsid w:val="002E5A26"/>
    <w:rsid w:val="002E6022"/>
    <w:rsid w:val="002E63EA"/>
    <w:rsid w:val="002E7642"/>
    <w:rsid w:val="002F04DB"/>
    <w:rsid w:val="002F0BFC"/>
    <w:rsid w:val="002F24AA"/>
    <w:rsid w:val="002F4D9B"/>
    <w:rsid w:val="002F7B1C"/>
    <w:rsid w:val="0030072B"/>
    <w:rsid w:val="00300C9D"/>
    <w:rsid w:val="0030134B"/>
    <w:rsid w:val="00301477"/>
    <w:rsid w:val="00302C06"/>
    <w:rsid w:val="003044FE"/>
    <w:rsid w:val="003069C1"/>
    <w:rsid w:val="00306A48"/>
    <w:rsid w:val="00310020"/>
    <w:rsid w:val="003101D9"/>
    <w:rsid w:val="0031169A"/>
    <w:rsid w:val="003117C4"/>
    <w:rsid w:val="00311AF1"/>
    <w:rsid w:val="00312CBB"/>
    <w:rsid w:val="00313D24"/>
    <w:rsid w:val="0031483F"/>
    <w:rsid w:val="00314EE3"/>
    <w:rsid w:val="00314F24"/>
    <w:rsid w:val="00315AE7"/>
    <w:rsid w:val="00315C19"/>
    <w:rsid w:val="0031720A"/>
    <w:rsid w:val="003178A1"/>
    <w:rsid w:val="00321AA4"/>
    <w:rsid w:val="00323309"/>
    <w:rsid w:val="003254D3"/>
    <w:rsid w:val="00325944"/>
    <w:rsid w:val="003259D0"/>
    <w:rsid w:val="003262F9"/>
    <w:rsid w:val="00327F90"/>
    <w:rsid w:val="00331144"/>
    <w:rsid w:val="00331E4A"/>
    <w:rsid w:val="00331F80"/>
    <w:rsid w:val="0033206E"/>
    <w:rsid w:val="00332964"/>
    <w:rsid w:val="00332E7E"/>
    <w:rsid w:val="00333948"/>
    <w:rsid w:val="003342AD"/>
    <w:rsid w:val="0033565D"/>
    <w:rsid w:val="00335FFE"/>
    <w:rsid w:val="00336095"/>
    <w:rsid w:val="00336599"/>
    <w:rsid w:val="0033662A"/>
    <w:rsid w:val="00337A79"/>
    <w:rsid w:val="00340EA3"/>
    <w:rsid w:val="0034138C"/>
    <w:rsid w:val="00341CAD"/>
    <w:rsid w:val="00342065"/>
    <w:rsid w:val="00342B98"/>
    <w:rsid w:val="00342EFE"/>
    <w:rsid w:val="0034305D"/>
    <w:rsid w:val="0034789A"/>
    <w:rsid w:val="00347BFB"/>
    <w:rsid w:val="00350C24"/>
    <w:rsid w:val="0035139A"/>
    <w:rsid w:val="00351517"/>
    <w:rsid w:val="003516D8"/>
    <w:rsid w:val="00352390"/>
    <w:rsid w:val="00352F6C"/>
    <w:rsid w:val="003538D4"/>
    <w:rsid w:val="00353B95"/>
    <w:rsid w:val="00356419"/>
    <w:rsid w:val="0035693B"/>
    <w:rsid w:val="00356E79"/>
    <w:rsid w:val="003579F2"/>
    <w:rsid w:val="003619D7"/>
    <w:rsid w:val="0036223F"/>
    <w:rsid w:val="00363D51"/>
    <w:rsid w:val="00363E68"/>
    <w:rsid w:val="0036460E"/>
    <w:rsid w:val="00364DF1"/>
    <w:rsid w:val="00365548"/>
    <w:rsid w:val="003658B5"/>
    <w:rsid w:val="00366311"/>
    <w:rsid w:val="00366691"/>
    <w:rsid w:val="00371721"/>
    <w:rsid w:val="00371A47"/>
    <w:rsid w:val="003729D2"/>
    <w:rsid w:val="00373F22"/>
    <w:rsid w:val="00374B92"/>
    <w:rsid w:val="00375233"/>
    <w:rsid w:val="00375678"/>
    <w:rsid w:val="003772D7"/>
    <w:rsid w:val="003804C1"/>
    <w:rsid w:val="00380F97"/>
    <w:rsid w:val="0038130F"/>
    <w:rsid w:val="00383993"/>
    <w:rsid w:val="00385633"/>
    <w:rsid w:val="00385996"/>
    <w:rsid w:val="00386AC0"/>
    <w:rsid w:val="00387BEA"/>
    <w:rsid w:val="003923E5"/>
    <w:rsid w:val="00392FAE"/>
    <w:rsid w:val="00393AB7"/>
    <w:rsid w:val="00393BEC"/>
    <w:rsid w:val="00394986"/>
    <w:rsid w:val="00394FF4"/>
    <w:rsid w:val="00395AFA"/>
    <w:rsid w:val="00396016"/>
    <w:rsid w:val="003960DB"/>
    <w:rsid w:val="00397198"/>
    <w:rsid w:val="003A10B9"/>
    <w:rsid w:val="003A1AF9"/>
    <w:rsid w:val="003A1AFF"/>
    <w:rsid w:val="003A3033"/>
    <w:rsid w:val="003A475A"/>
    <w:rsid w:val="003A4D3D"/>
    <w:rsid w:val="003A4E78"/>
    <w:rsid w:val="003A4E8B"/>
    <w:rsid w:val="003A673A"/>
    <w:rsid w:val="003A691B"/>
    <w:rsid w:val="003A6E2E"/>
    <w:rsid w:val="003A77B8"/>
    <w:rsid w:val="003B07A1"/>
    <w:rsid w:val="003B0F6C"/>
    <w:rsid w:val="003B1A77"/>
    <w:rsid w:val="003B2C9E"/>
    <w:rsid w:val="003B35CA"/>
    <w:rsid w:val="003B49E3"/>
    <w:rsid w:val="003B4B59"/>
    <w:rsid w:val="003B5606"/>
    <w:rsid w:val="003B6241"/>
    <w:rsid w:val="003B7266"/>
    <w:rsid w:val="003C0646"/>
    <w:rsid w:val="003C10A8"/>
    <w:rsid w:val="003C1BE5"/>
    <w:rsid w:val="003C2199"/>
    <w:rsid w:val="003C2308"/>
    <w:rsid w:val="003C2657"/>
    <w:rsid w:val="003C3DE9"/>
    <w:rsid w:val="003C3EAE"/>
    <w:rsid w:val="003C67E4"/>
    <w:rsid w:val="003D0441"/>
    <w:rsid w:val="003D1CFD"/>
    <w:rsid w:val="003D21DE"/>
    <w:rsid w:val="003D2455"/>
    <w:rsid w:val="003D3664"/>
    <w:rsid w:val="003D3C62"/>
    <w:rsid w:val="003D5277"/>
    <w:rsid w:val="003D5B9E"/>
    <w:rsid w:val="003D6565"/>
    <w:rsid w:val="003D6F50"/>
    <w:rsid w:val="003D7007"/>
    <w:rsid w:val="003E00CC"/>
    <w:rsid w:val="003E02B6"/>
    <w:rsid w:val="003E1782"/>
    <w:rsid w:val="003E3DB6"/>
    <w:rsid w:val="003E48FD"/>
    <w:rsid w:val="003E4EEF"/>
    <w:rsid w:val="003E6215"/>
    <w:rsid w:val="003E70DE"/>
    <w:rsid w:val="003F3B5F"/>
    <w:rsid w:val="003F463E"/>
    <w:rsid w:val="003F7B4C"/>
    <w:rsid w:val="0040308B"/>
    <w:rsid w:val="00403DD4"/>
    <w:rsid w:val="00404B03"/>
    <w:rsid w:val="00405ADD"/>
    <w:rsid w:val="00405D59"/>
    <w:rsid w:val="00406A31"/>
    <w:rsid w:val="00406E78"/>
    <w:rsid w:val="00407815"/>
    <w:rsid w:val="00407A89"/>
    <w:rsid w:val="00412781"/>
    <w:rsid w:val="00412BE6"/>
    <w:rsid w:val="004134F6"/>
    <w:rsid w:val="0041445E"/>
    <w:rsid w:val="00414909"/>
    <w:rsid w:val="00415567"/>
    <w:rsid w:val="004164B5"/>
    <w:rsid w:val="00416639"/>
    <w:rsid w:val="004176CD"/>
    <w:rsid w:val="00417C7F"/>
    <w:rsid w:val="00421466"/>
    <w:rsid w:val="00422ED0"/>
    <w:rsid w:val="004234E6"/>
    <w:rsid w:val="00423B44"/>
    <w:rsid w:val="0042403C"/>
    <w:rsid w:val="00425F22"/>
    <w:rsid w:val="00426912"/>
    <w:rsid w:val="00427681"/>
    <w:rsid w:val="00427FEE"/>
    <w:rsid w:val="004300F2"/>
    <w:rsid w:val="00430C6D"/>
    <w:rsid w:val="00432222"/>
    <w:rsid w:val="00432F75"/>
    <w:rsid w:val="0043318C"/>
    <w:rsid w:val="00434305"/>
    <w:rsid w:val="00434697"/>
    <w:rsid w:val="00434E4B"/>
    <w:rsid w:val="0043595E"/>
    <w:rsid w:val="00436E4D"/>
    <w:rsid w:val="0043729D"/>
    <w:rsid w:val="004378CE"/>
    <w:rsid w:val="004412F8"/>
    <w:rsid w:val="00441CB3"/>
    <w:rsid w:val="00442979"/>
    <w:rsid w:val="004439F2"/>
    <w:rsid w:val="00443CFF"/>
    <w:rsid w:val="004440F3"/>
    <w:rsid w:val="00444715"/>
    <w:rsid w:val="00445C59"/>
    <w:rsid w:val="004460AD"/>
    <w:rsid w:val="00446E51"/>
    <w:rsid w:val="00447D79"/>
    <w:rsid w:val="0045021F"/>
    <w:rsid w:val="00450C25"/>
    <w:rsid w:val="00450DD4"/>
    <w:rsid w:val="00451CD1"/>
    <w:rsid w:val="0045351B"/>
    <w:rsid w:val="00453DB7"/>
    <w:rsid w:val="004548C0"/>
    <w:rsid w:val="00455227"/>
    <w:rsid w:val="004552C9"/>
    <w:rsid w:val="00455877"/>
    <w:rsid w:val="00455A39"/>
    <w:rsid w:val="004575C1"/>
    <w:rsid w:val="004576D2"/>
    <w:rsid w:val="0046095E"/>
    <w:rsid w:val="00460DB4"/>
    <w:rsid w:val="00461BBA"/>
    <w:rsid w:val="00462358"/>
    <w:rsid w:val="004629B1"/>
    <w:rsid w:val="00462DC6"/>
    <w:rsid w:val="004638F0"/>
    <w:rsid w:val="00463C32"/>
    <w:rsid w:val="00464444"/>
    <w:rsid w:val="00464513"/>
    <w:rsid w:val="004659DB"/>
    <w:rsid w:val="00466502"/>
    <w:rsid w:val="00466797"/>
    <w:rsid w:val="00466E61"/>
    <w:rsid w:val="00467601"/>
    <w:rsid w:val="00470769"/>
    <w:rsid w:val="004709AA"/>
    <w:rsid w:val="00470DE9"/>
    <w:rsid w:val="00471604"/>
    <w:rsid w:val="00472118"/>
    <w:rsid w:val="00472131"/>
    <w:rsid w:val="00472411"/>
    <w:rsid w:val="0047257E"/>
    <w:rsid w:val="00472F1B"/>
    <w:rsid w:val="004739BD"/>
    <w:rsid w:val="00473C06"/>
    <w:rsid w:val="00475463"/>
    <w:rsid w:val="00475FAB"/>
    <w:rsid w:val="00477286"/>
    <w:rsid w:val="0047743D"/>
    <w:rsid w:val="004778EB"/>
    <w:rsid w:val="004779E5"/>
    <w:rsid w:val="004806AE"/>
    <w:rsid w:val="00480CC4"/>
    <w:rsid w:val="004814CF"/>
    <w:rsid w:val="00482FC8"/>
    <w:rsid w:val="00484874"/>
    <w:rsid w:val="00484B81"/>
    <w:rsid w:val="00484FCC"/>
    <w:rsid w:val="004850B0"/>
    <w:rsid w:val="00485A3D"/>
    <w:rsid w:val="00485BEB"/>
    <w:rsid w:val="004865F4"/>
    <w:rsid w:val="00486DE9"/>
    <w:rsid w:val="00487C8A"/>
    <w:rsid w:val="00490449"/>
    <w:rsid w:val="004907E5"/>
    <w:rsid w:val="00490A31"/>
    <w:rsid w:val="00490FE0"/>
    <w:rsid w:val="0049277F"/>
    <w:rsid w:val="0049547E"/>
    <w:rsid w:val="0049622C"/>
    <w:rsid w:val="004965EA"/>
    <w:rsid w:val="00497D62"/>
    <w:rsid w:val="00497F0C"/>
    <w:rsid w:val="004A0D74"/>
    <w:rsid w:val="004A1488"/>
    <w:rsid w:val="004A3978"/>
    <w:rsid w:val="004A48EC"/>
    <w:rsid w:val="004A4954"/>
    <w:rsid w:val="004A4D58"/>
    <w:rsid w:val="004A4DF0"/>
    <w:rsid w:val="004A4E18"/>
    <w:rsid w:val="004A5137"/>
    <w:rsid w:val="004A7894"/>
    <w:rsid w:val="004A7F48"/>
    <w:rsid w:val="004B131D"/>
    <w:rsid w:val="004B1BA3"/>
    <w:rsid w:val="004B1E07"/>
    <w:rsid w:val="004B2126"/>
    <w:rsid w:val="004B23CB"/>
    <w:rsid w:val="004B283B"/>
    <w:rsid w:val="004B2DCF"/>
    <w:rsid w:val="004B4789"/>
    <w:rsid w:val="004B4C8D"/>
    <w:rsid w:val="004B4E14"/>
    <w:rsid w:val="004B70A9"/>
    <w:rsid w:val="004B7520"/>
    <w:rsid w:val="004B775A"/>
    <w:rsid w:val="004B7CA7"/>
    <w:rsid w:val="004C0B3A"/>
    <w:rsid w:val="004C12E7"/>
    <w:rsid w:val="004C1A4E"/>
    <w:rsid w:val="004C38E0"/>
    <w:rsid w:val="004C4528"/>
    <w:rsid w:val="004C4B04"/>
    <w:rsid w:val="004C5101"/>
    <w:rsid w:val="004C53A8"/>
    <w:rsid w:val="004C667D"/>
    <w:rsid w:val="004C6FBF"/>
    <w:rsid w:val="004C74F6"/>
    <w:rsid w:val="004D06F6"/>
    <w:rsid w:val="004D361A"/>
    <w:rsid w:val="004D3794"/>
    <w:rsid w:val="004D4253"/>
    <w:rsid w:val="004D5230"/>
    <w:rsid w:val="004D536E"/>
    <w:rsid w:val="004D5B9C"/>
    <w:rsid w:val="004D775D"/>
    <w:rsid w:val="004E0358"/>
    <w:rsid w:val="004E0EEA"/>
    <w:rsid w:val="004E0F61"/>
    <w:rsid w:val="004E1925"/>
    <w:rsid w:val="004E1CF3"/>
    <w:rsid w:val="004E396B"/>
    <w:rsid w:val="004E3A06"/>
    <w:rsid w:val="004E5474"/>
    <w:rsid w:val="004E5603"/>
    <w:rsid w:val="004E7124"/>
    <w:rsid w:val="004E730B"/>
    <w:rsid w:val="004E7A85"/>
    <w:rsid w:val="004F05B5"/>
    <w:rsid w:val="004F25B5"/>
    <w:rsid w:val="004F2D3F"/>
    <w:rsid w:val="004F2FC5"/>
    <w:rsid w:val="004F34BE"/>
    <w:rsid w:val="004F42BB"/>
    <w:rsid w:val="004F5CAA"/>
    <w:rsid w:val="004F6DC8"/>
    <w:rsid w:val="004F7CD6"/>
    <w:rsid w:val="0050004A"/>
    <w:rsid w:val="005000A1"/>
    <w:rsid w:val="00500DB0"/>
    <w:rsid w:val="005020A5"/>
    <w:rsid w:val="00502577"/>
    <w:rsid w:val="00502F55"/>
    <w:rsid w:val="00503001"/>
    <w:rsid w:val="00503FAB"/>
    <w:rsid w:val="005048D5"/>
    <w:rsid w:val="00504A72"/>
    <w:rsid w:val="00504B2C"/>
    <w:rsid w:val="005057A8"/>
    <w:rsid w:val="005060AD"/>
    <w:rsid w:val="00506333"/>
    <w:rsid w:val="00506A90"/>
    <w:rsid w:val="00506B39"/>
    <w:rsid w:val="00507049"/>
    <w:rsid w:val="00507CF7"/>
    <w:rsid w:val="00507D58"/>
    <w:rsid w:val="00507F81"/>
    <w:rsid w:val="005104B1"/>
    <w:rsid w:val="005105F4"/>
    <w:rsid w:val="00510993"/>
    <w:rsid w:val="00510B88"/>
    <w:rsid w:val="00510F40"/>
    <w:rsid w:val="0051151F"/>
    <w:rsid w:val="00511610"/>
    <w:rsid w:val="005133EE"/>
    <w:rsid w:val="00513408"/>
    <w:rsid w:val="00513E68"/>
    <w:rsid w:val="00514197"/>
    <w:rsid w:val="0051425E"/>
    <w:rsid w:val="00514E03"/>
    <w:rsid w:val="0051579B"/>
    <w:rsid w:val="00517670"/>
    <w:rsid w:val="00517BB0"/>
    <w:rsid w:val="00521063"/>
    <w:rsid w:val="005212F0"/>
    <w:rsid w:val="00521576"/>
    <w:rsid w:val="00521A1B"/>
    <w:rsid w:val="005223B5"/>
    <w:rsid w:val="00522B6F"/>
    <w:rsid w:val="00522F9E"/>
    <w:rsid w:val="00524481"/>
    <w:rsid w:val="00524737"/>
    <w:rsid w:val="005252D0"/>
    <w:rsid w:val="00526C8E"/>
    <w:rsid w:val="00527049"/>
    <w:rsid w:val="00527891"/>
    <w:rsid w:val="0053078C"/>
    <w:rsid w:val="0053108A"/>
    <w:rsid w:val="00531254"/>
    <w:rsid w:val="00531389"/>
    <w:rsid w:val="0053260F"/>
    <w:rsid w:val="00532918"/>
    <w:rsid w:val="00532DA7"/>
    <w:rsid w:val="00533C7E"/>
    <w:rsid w:val="00533FCD"/>
    <w:rsid w:val="005342D9"/>
    <w:rsid w:val="0053446E"/>
    <w:rsid w:val="00534604"/>
    <w:rsid w:val="00535A74"/>
    <w:rsid w:val="00535B75"/>
    <w:rsid w:val="0053689C"/>
    <w:rsid w:val="00536BF6"/>
    <w:rsid w:val="0053793E"/>
    <w:rsid w:val="00541CE4"/>
    <w:rsid w:val="005423E5"/>
    <w:rsid w:val="00542492"/>
    <w:rsid w:val="00543689"/>
    <w:rsid w:val="005463CC"/>
    <w:rsid w:val="00547ACD"/>
    <w:rsid w:val="00547E43"/>
    <w:rsid w:val="0055084A"/>
    <w:rsid w:val="00550B77"/>
    <w:rsid w:val="0055172F"/>
    <w:rsid w:val="00551C70"/>
    <w:rsid w:val="0055228C"/>
    <w:rsid w:val="005533E3"/>
    <w:rsid w:val="0055379C"/>
    <w:rsid w:val="00553991"/>
    <w:rsid w:val="00553A2B"/>
    <w:rsid w:val="005547ED"/>
    <w:rsid w:val="00554969"/>
    <w:rsid w:val="00554E2F"/>
    <w:rsid w:val="00557FFB"/>
    <w:rsid w:val="0056180A"/>
    <w:rsid w:val="005618BE"/>
    <w:rsid w:val="00563087"/>
    <w:rsid w:val="00563140"/>
    <w:rsid w:val="005637AF"/>
    <w:rsid w:val="00563820"/>
    <w:rsid w:val="00563D04"/>
    <w:rsid w:val="00564B90"/>
    <w:rsid w:val="00564BE6"/>
    <w:rsid w:val="005656B6"/>
    <w:rsid w:val="00565C59"/>
    <w:rsid w:val="00566CA5"/>
    <w:rsid w:val="00567013"/>
    <w:rsid w:val="00567167"/>
    <w:rsid w:val="0056756A"/>
    <w:rsid w:val="00567DB9"/>
    <w:rsid w:val="005707D0"/>
    <w:rsid w:val="00572C9A"/>
    <w:rsid w:val="00573AF1"/>
    <w:rsid w:val="00573D0F"/>
    <w:rsid w:val="00575C1A"/>
    <w:rsid w:val="00575C31"/>
    <w:rsid w:val="0057633D"/>
    <w:rsid w:val="00576969"/>
    <w:rsid w:val="00576C9B"/>
    <w:rsid w:val="0057722A"/>
    <w:rsid w:val="005800AD"/>
    <w:rsid w:val="005810F3"/>
    <w:rsid w:val="005822F0"/>
    <w:rsid w:val="005824AC"/>
    <w:rsid w:val="00582A6D"/>
    <w:rsid w:val="005837CB"/>
    <w:rsid w:val="00584857"/>
    <w:rsid w:val="0058531F"/>
    <w:rsid w:val="00585A99"/>
    <w:rsid w:val="00585C25"/>
    <w:rsid w:val="0058631A"/>
    <w:rsid w:val="0058669F"/>
    <w:rsid w:val="00587099"/>
    <w:rsid w:val="005905F3"/>
    <w:rsid w:val="00590DB4"/>
    <w:rsid w:val="00590E5E"/>
    <w:rsid w:val="00591383"/>
    <w:rsid w:val="00591431"/>
    <w:rsid w:val="00591A7F"/>
    <w:rsid w:val="00591B5E"/>
    <w:rsid w:val="00592135"/>
    <w:rsid w:val="00594191"/>
    <w:rsid w:val="0059547B"/>
    <w:rsid w:val="00596BB7"/>
    <w:rsid w:val="00596FC8"/>
    <w:rsid w:val="00597765"/>
    <w:rsid w:val="00597788"/>
    <w:rsid w:val="00597E98"/>
    <w:rsid w:val="00597FE7"/>
    <w:rsid w:val="005A053A"/>
    <w:rsid w:val="005A0540"/>
    <w:rsid w:val="005A0708"/>
    <w:rsid w:val="005A0795"/>
    <w:rsid w:val="005A07B7"/>
    <w:rsid w:val="005A1DDE"/>
    <w:rsid w:val="005A1F82"/>
    <w:rsid w:val="005A207E"/>
    <w:rsid w:val="005A22B7"/>
    <w:rsid w:val="005A2726"/>
    <w:rsid w:val="005A2AB3"/>
    <w:rsid w:val="005A2F78"/>
    <w:rsid w:val="005A30BF"/>
    <w:rsid w:val="005A3ACC"/>
    <w:rsid w:val="005A3D09"/>
    <w:rsid w:val="005A5710"/>
    <w:rsid w:val="005A60DC"/>
    <w:rsid w:val="005A75F1"/>
    <w:rsid w:val="005A7C0B"/>
    <w:rsid w:val="005B042B"/>
    <w:rsid w:val="005B0B92"/>
    <w:rsid w:val="005B1324"/>
    <w:rsid w:val="005B193E"/>
    <w:rsid w:val="005B2AEB"/>
    <w:rsid w:val="005B3075"/>
    <w:rsid w:val="005B36E2"/>
    <w:rsid w:val="005B3B42"/>
    <w:rsid w:val="005B4764"/>
    <w:rsid w:val="005B4BDF"/>
    <w:rsid w:val="005B4C56"/>
    <w:rsid w:val="005B4DAA"/>
    <w:rsid w:val="005C00ED"/>
    <w:rsid w:val="005C0154"/>
    <w:rsid w:val="005C08DB"/>
    <w:rsid w:val="005C15ED"/>
    <w:rsid w:val="005C16DA"/>
    <w:rsid w:val="005C2985"/>
    <w:rsid w:val="005D0CAC"/>
    <w:rsid w:val="005D1C3C"/>
    <w:rsid w:val="005D278C"/>
    <w:rsid w:val="005D2838"/>
    <w:rsid w:val="005D2897"/>
    <w:rsid w:val="005D29E0"/>
    <w:rsid w:val="005D3409"/>
    <w:rsid w:val="005D46D2"/>
    <w:rsid w:val="005D5335"/>
    <w:rsid w:val="005D63E0"/>
    <w:rsid w:val="005D6D7E"/>
    <w:rsid w:val="005D6FBF"/>
    <w:rsid w:val="005D7A3A"/>
    <w:rsid w:val="005E15E9"/>
    <w:rsid w:val="005E18DA"/>
    <w:rsid w:val="005E1B8C"/>
    <w:rsid w:val="005E33B6"/>
    <w:rsid w:val="005E3851"/>
    <w:rsid w:val="005E38E7"/>
    <w:rsid w:val="005E3A26"/>
    <w:rsid w:val="005E3AF0"/>
    <w:rsid w:val="005E5146"/>
    <w:rsid w:val="005E5E16"/>
    <w:rsid w:val="005F0674"/>
    <w:rsid w:val="005F11DC"/>
    <w:rsid w:val="005F1376"/>
    <w:rsid w:val="005F14A1"/>
    <w:rsid w:val="005F2E21"/>
    <w:rsid w:val="005F2F86"/>
    <w:rsid w:val="005F328F"/>
    <w:rsid w:val="005F454C"/>
    <w:rsid w:val="005F4DAB"/>
    <w:rsid w:val="005F52D3"/>
    <w:rsid w:val="005F6223"/>
    <w:rsid w:val="005F77C6"/>
    <w:rsid w:val="00600C29"/>
    <w:rsid w:val="00601972"/>
    <w:rsid w:val="00601A1A"/>
    <w:rsid w:val="006020A6"/>
    <w:rsid w:val="0060357B"/>
    <w:rsid w:val="00603D8D"/>
    <w:rsid w:val="00605270"/>
    <w:rsid w:val="00605AD3"/>
    <w:rsid w:val="00606502"/>
    <w:rsid w:val="006067BD"/>
    <w:rsid w:val="00607265"/>
    <w:rsid w:val="006078C5"/>
    <w:rsid w:val="00607E91"/>
    <w:rsid w:val="0061074E"/>
    <w:rsid w:val="00610EE5"/>
    <w:rsid w:val="006110D2"/>
    <w:rsid w:val="006126B7"/>
    <w:rsid w:val="00612C12"/>
    <w:rsid w:val="00612D7A"/>
    <w:rsid w:val="00612F73"/>
    <w:rsid w:val="00614DC3"/>
    <w:rsid w:val="0061733B"/>
    <w:rsid w:val="0061792D"/>
    <w:rsid w:val="0062004E"/>
    <w:rsid w:val="0062074A"/>
    <w:rsid w:val="00621790"/>
    <w:rsid w:val="006229B3"/>
    <w:rsid w:val="006229B5"/>
    <w:rsid w:val="00622A3A"/>
    <w:rsid w:val="006240C7"/>
    <w:rsid w:val="006246C4"/>
    <w:rsid w:val="00625F2E"/>
    <w:rsid w:val="006266B8"/>
    <w:rsid w:val="00626845"/>
    <w:rsid w:val="00626907"/>
    <w:rsid w:val="00626A7B"/>
    <w:rsid w:val="0063248D"/>
    <w:rsid w:val="00632E1E"/>
    <w:rsid w:val="00634392"/>
    <w:rsid w:val="00635A9C"/>
    <w:rsid w:val="006361A2"/>
    <w:rsid w:val="0063668E"/>
    <w:rsid w:val="00636920"/>
    <w:rsid w:val="00637E5B"/>
    <w:rsid w:val="006405D2"/>
    <w:rsid w:val="00640858"/>
    <w:rsid w:val="00640F5D"/>
    <w:rsid w:val="006419F1"/>
    <w:rsid w:val="00641BF9"/>
    <w:rsid w:val="00641C56"/>
    <w:rsid w:val="00642FC5"/>
    <w:rsid w:val="0064354D"/>
    <w:rsid w:val="0064462B"/>
    <w:rsid w:val="006456D3"/>
    <w:rsid w:val="00646F57"/>
    <w:rsid w:val="006517D3"/>
    <w:rsid w:val="00653E04"/>
    <w:rsid w:val="006550CC"/>
    <w:rsid w:val="0065511E"/>
    <w:rsid w:val="00655637"/>
    <w:rsid w:val="00655C22"/>
    <w:rsid w:val="00656BEE"/>
    <w:rsid w:val="006574B4"/>
    <w:rsid w:val="006605E1"/>
    <w:rsid w:val="00660B64"/>
    <w:rsid w:val="00661893"/>
    <w:rsid w:val="0066246E"/>
    <w:rsid w:val="0066267A"/>
    <w:rsid w:val="0066322F"/>
    <w:rsid w:val="0066585C"/>
    <w:rsid w:val="00665CBE"/>
    <w:rsid w:val="00670805"/>
    <w:rsid w:val="0067081B"/>
    <w:rsid w:val="0067210A"/>
    <w:rsid w:val="00672998"/>
    <w:rsid w:val="00672BED"/>
    <w:rsid w:val="00673ECC"/>
    <w:rsid w:val="00674295"/>
    <w:rsid w:val="00674C62"/>
    <w:rsid w:val="00675DF0"/>
    <w:rsid w:val="00675EF0"/>
    <w:rsid w:val="00675F99"/>
    <w:rsid w:val="006766C5"/>
    <w:rsid w:val="00676B8A"/>
    <w:rsid w:val="00676E04"/>
    <w:rsid w:val="0067706C"/>
    <w:rsid w:val="006801AA"/>
    <w:rsid w:val="006802C8"/>
    <w:rsid w:val="00681C4C"/>
    <w:rsid w:val="006828D2"/>
    <w:rsid w:val="00682CDC"/>
    <w:rsid w:val="00683783"/>
    <w:rsid w:val="00684E53"/>
    <w:rsid w:val="00685DD7"/>
    <w:rsid w:val="00685E87"/>
    <w:rsid w:val="00685F45"/>
    <w:rsid w:val="006863B3"/>
    <w:rsid w:val="006866C5"/>
    <w:rsid w:val="00687FAC"/>
    <w:rsid w:val="00690F06"/>
    <w:rsid w:val="00691CDF"/>
    <w:rsid w:val="0069353D"/>
    <w:rsid w:val="00693C94"/>
    <w:rsid w:val="00694AAD"/>
    <w:rsid w:val="0069500C"/>
    <w:rsid w:val="00695AD5"/>
    <w:rsid w:val="00695C3E"/>
    <w:rsid w:val="006979A6"/>
    <w:rsid w:val="00697AAD"/>
    <w:rsid w:val="006A15A0"/>
    <w:rsid w:val="006A17FF"/>
    <w:rsid w:val="006A25F4"/>
    <w:rsid w:val="006A2EDB"/>
    <w:rsid w:val="006A351C"/>
    <w:rsid w:val="006A3B79"/>
    <w:rsid w:val="006A4C81"/>
    <w:rsid w:val="006A529B"/>
    <w:rsid w:val="006B0128"/>
    <w:rsid w:val="006B1E07"/>
    <w:rsid w:val="006B1E26"/>
    <w:rsid w:val="006B20F0"/>
    <w:rsid w:val="006B218D"/>
    <w:rsid w:val="006B339E"/>
    <w:rsid w:val="006B6AAA"/>
    <w:rsid w:val="006B746D"/>
    <w:rsid w:val="006B77B9"/>
    <w:rsid w:val="006B7B6E"/>
    <w:rsid w:val="006B7F7E"/>
    <w:rsid w:val="006C0A79"/>
    <w:rsid w:val="006C3BFD"/>
    <w:rsid w:val="006C567C"/>
    <w:rsid w:val="006C5DDE"/>
    <w:rsid w:val="006C5ED8"/>
    <w:rsid w:val="006C721F"/>
    <w:rsid w:val="006D0E0F"/>
    <w:rsid w:val="006D10DD"/>
    <w:rsid w:val="006D193E"/>
    <w:rsid w:val="006D2A5E"/>
    <w:rsid w:val="006D2B52"/>
    <w:rsid w:val="006D3475"/>
    <w:rsid w:val="006D3551"/>
    <w:rsid w:val="006D382A"/>
    <w:rsid w:val="006D3FC5"/>
    <w:rsid w:val="006D4537"/>
    <w:rsid w:val="006D642B"/>
    <w:rsid w:val="006D7F87"/>
    <w:rsid w:val="006E08DB"/>
    <w:rsid w:val="006E0AE1"/>
    <w:rsid w:val="006E253C"/>
    <w:rsid w:val="006E2F19"/>
    <w:rsid w:val="006E3D93"/>
    <w:rsid w:val="006E511C"/>
    <w:rsid w:val="006E571E"/>
    <w:rsid w:val="006E60D7"/>
    <w:rsid w:val="006E6849"/>
    <w:rsid w:val="006E7092"/>
    <w:rsid w:val="006E7208"/>
    <w:rsid w:val="006F024E"/>
    <w:rsid w:val="006F13EE"/>
    <w:rsid w:val="006F1FC8"/>
    <w:rsid w:val="006F2B18"/>
    <w:rsid w:val="006F4A77"/>
    <w:rsid w:val="006F5808"/>
    <w:rsid w:val="006F5DBA"/>
    <w:rsid w:val="006F6EA9"/>
    <w:rsid w:val="006F6FFB"/>
    <w:rsid w:val="006F7BDD"/>
    <w:rsid w:val="006F7F3E"/>
    <w:rsid w:val="00700292"/>
    <w:rsid w:val="00700C42"/>
    <w:rsid w:val="00702CB7"/>
    <w:rsid w:val="00703387"/>
    <w:rsid w:val="007034A1"/>
    <w:rsid w:val="0070439A"/>
    <w:rsid w:val="00704E71"/>
    <w:rsid w:val="00705258"/>
    <w:rsid w:val="007055FE"/>
    <w:rsid w:val="00705703"/>
    <w:rsid w:val="00706368"/>
    <w:rsid w:val="007064B4"/>
    <w:rsid w:val="00706D0E"/>
    <w:rsid w:val="007070FF"/>
    <w:rsid w:val="00711CB6"/>
    <w:rsid w:val="00711F6B"/>
    <w:rsid w:val="0071201D"/>
    <w:rsid w:val="0071226B"/>
    <w:rsid w:val="0071247E"/>
    <w:rsid w:val="00712579"/>
    <w:rsid w:val="007129BD"/>
    <w:rsid w:val="00712BFE"/>
    <w:rsid w:val="00712E35"/>
    <w:rsid w:val="007131AE"/>
    <w:rsid w:val="00714030"/>
    <w:rsid w:val="0071510E"/>
    <w:rsid w:val="00715AD8"/>
    <w:rsid w:val="0071610E"/>
    <w:rsid w:val="0071776E"/>
    <w:rsid w:val="007210AF"/>
    <w:rsid w:val="00721252"/>
    <w:rsid w:val="007231A5"/>
    <w:rsid w:val="0072444E"/>
    <w:rsid w:val="00724829"/>
    <w:rsid w:val="00724D82"/>
    <w:rsid w:val="00724F6D"/>
    <w:rsid w:val="00730EF6"/>
    <w:rsid w:val="00733715"/>
    <w:rsid w:val="00740C13"/>
    <w:rsid w:val="00741F19"/>
    <w:rsid w:val="007424B5"/>
    <w:rsid w:val="00742CB2"/>
    <w:rsid w:val="00742CB7"/>
    <w:rsid w:val="0074473E"/>
    <w:rsid w:val="0074536B"/>
    <w:rsid w:val="0074569F"/>
    <w:rsid w:val="007462DA"/>
    <w:rsid w:val="00747094"/>
    <w:rsid w:val="00747F96"/>
    <w:rsid w:val="00750C9D"/>
    <w:rsid w:val="00751755"/>
    <w:rsid w:val="007518AC"/>
    <w:rsid w:val="0075257D"/>
    <w:rsid w:val="00752E04"/>
    <w:rsid w:val="007532A3"/>
    <w:rsid w:val="00753CAF"/>
    <w:rsid w:val="007541DB"/>
    <w:rsid w:val="007544EE"/>
    <w:rsid w:val="0075552C"/>
    <w:rsid w:val="0075654A"/>
    <w:rsid w:val="007568E1"/>
    <w:rsid w:val="00756CD1"/>
    <w:rsid w:val="00757E91"/>
    <w:rsid w:val="00762FC3"/>
    <w:rsid w:val="00763413"/>
    <w:rsid w:val="00763512"/>
    <w:rsid w:val="007646F8"/>
    <w:rsid w:val="00765158"/>
    <w:rsid w:val="0076613F"/>
    <w:rsid w:val="00766172"/>
    <w:rsid w:val="007667CB"/>
    <w:rsid w:val="00766861"/>
    <w:rsid w:val="00766998"/>
    <w:rsid w:val="00767395"/>
    <w:rsid w:val="007676D2"/>
    <w:rsid w:val="007702FC"/>
    <w:rsid w:val="00771B26"/>
    <w:rsid w:val="00772817"/>
    <w:rsid w:val="00773AF8"/>
    <w:rsid w:val="00774F71"/>
    <w:rsid w:val="00775250"/>
    <w:rsid w:val="00775FBF"/>
    <w:rsid w:val="0077606D"/>
    <w:rsid w:val="0077729E"/>
    <w:rsid w:val="00777306"/>
    <w:rsid w:val="007774FB"/>
    <w:rsid w:val="007777C3"/>
    <w:rsid w:val="00777E81"/>
    <w:rsid w:val="0078038E"/>
    <w:rsid w:val="00780944"/>
    <w:rsid w:val="00780D72"/>
    <w:rsid w:val="00780DAD"/>
    <w:rsid w:val="00780F7E"/>
    <w:rsid w:val="0078130E"/>
    <w:rsid w:val="007814A7"/>
    <w:rsid w:val="00781A6B"/>
    <w:rsid w:val="00782427"/>
    <w:rsid w:val="007849A4"/>
    <w:rsid w:val="00784E8F"/>
    <w:rsid w:val="00785137"/>
    <w:rsid w:val="007866A0"/>
    <w:rsid w:val="007868F0"/>
    <w:rsid w:val="00786E7D"/>
    <w:rsid w:val="00786FB3"/>
    <w:rsid w:val="00790B4E"/>
    <w:rsid w:val="007939D8"/>
    <w:rsid w:val="0079408A"/>
    <w:rsid w:val="00794726"/>
    <w:rsid w:val="007948EB"/>
    <w:rsid w:val="0079511F"/>
    <w:rsid w:val="007954FA"/>
    <w:rsid w:val="007963A2"/>
    <w:rsid w:val="007A04E7"/>
    <w:rsid w:val="007A1EDB"/>
    <w:rsid w:val="007A2DA7"/>
    <w:rsid w:val="007A414D"/>
    <w:rsid w:val="007A62FC"/>
    <w:rsid w:val="007A654B"/>
    <w:rsid w:val="007A77B0"/>
    <w:rsid w:val="007B03F4"/>
    <w:rsid w:val="007B0818"/>
    <w:rsid w:val="007B0EB3"/>
    <w:rsid w:val="007B1C10"/>
    <w:rsid w:val="007B2176"/>
    <w:rsid w:val="007B37A3"/>
    <w:rsid w:val="007B5239"/>
    <w:rsid w:val="007B5801"/>
    <w:rsid w:val="007B7D85"/>
    <w:rsid w:val="007C02EB"/>
    <w:rsid w:val="007C1053"/>
    <w:rsid w:val="007C2797"/>
    <w:rsid w:val="007C2CBB"/>
    <w:rsid w:val="007C2E4A"/>
    <w:rsid w:val="007C54C0"/>
    <w:rsid w:val="007C5D7D"/>
    <w:rsid w:val="007C5F11"/>
    <w:rsid w:val="007C655F"/>
    <w:rsid w:val="007C7742"/>
    <w:rsid w:val="007C7A52"/>
    <w:rsid w:val="007D2C48"/>
    <w:rsid w:val="007D4D4C"/>
    <w:rsid w:val="007D525B"/>
    <w:rsid w:val="007D75F8"/>
    <w:rsid w:val="007D776E"/>
    <w:rsid w:val="007E0AB4"/>
    <w:rsid w:val="007E10B7"/>
    <w:rsid w:val="007E2445"/>
    <w:rsid w:val="007E4BD0"/>
    <w:rsid w:val="007E5181"/>
    <w:rsid w:val="007E57B8"/>
    <w:rsid w:val="007E59BC"/>
    <w:rsid w:val="007E5F58"/>
    <w:rsid w:val="007E6FE0"/>
    <w:rsid w:val="007F087A"/>
    <w:rsid w:val="007F0925"/>
    <w:rsid w:val="007F0C20"/>
    <w:rsid w:val="007F250F"/>
    <w:rsid w:val="007F3434"/>
    <w:rsid w:val="007F3C85"/>
    <w:rsid w:val="007F4B56"/>
    <w:rsid w:val="007F54F5"/>
    <w:rsid w:val="007F67BE"/>
    <w:rsid w:val="007F7B02"/>
    <w:rsid w:val="007F7D74"/>
    <w:rsid w:val="00803301"/>
    <w:rsid w:val="00803687"/>
    <w:rsid w:val="00804D82"/>
    <w:rsid w:val="00804E47"/>
    <w:rsid w:val="008062A2"/>
    <w:rsid w:val="00810222"/>
    <w:rsid w:val="00811752"/>
    <w:rsid w:val="00812F43"/>
    <w:rsid w:val="008148A5"/>
    <w:rsid w:val="00814AE5"/>
    <w:rsid w:val="00815271"/>
    <w:rsid w:val="00816D4B"/>
    <w:rsid w:val="008173B5"/>
    <w:rsid w:val="00817DC9"/>
    <w:rsid w:val="008206EB"/>
    <w:rsid w:val="00822764"/>
    <w:rsid w:val="00822D54"/>
    <w:rsid w:val="008247CB"/>
    <w:rsid w:val="0082594A"/>
    <w:rsid w:val="00825BBF"/>
    <w:rsid w:val="00825C82"/>
    <w:rsid w:val="00825C9D"/>
    <w:rsid w:val="008303C8"/>
    <w:rsid w:val="00830BBC"/>
    <w:rsid w:val="00831B65"/>
    <w:rsid w:val="0083201F"/>
    <w:rsid w:val="00832759"/>
    <w:rsid w:val="00832D4E"/>
    <w:rsid w:val="008333C9"/>
    <w:rsid w:val="00833DAB"/>
    <w:rsid w:val="00833FB4"/>
    <w:rsid w:val="00834405"/>
    <w:rsid w:val="0083496B"/>
    <w:rsid w:val="0083544E"/>
    <w:rsid w:val="00836827"/>
    <w:rsid w:val="0083757D"/>
    <w:rsid w:val="00837ABB"/>
    <w:rsid w:val="00840480"/>
    <w:rsid w:val="008411B9"/>
    <w:rsid w:val="00841324"/>
    <w:rsid w:val="008422C5"/>
    <w:rsid w:val="0084248D"/>
    <w:rsid w:val="00842791"/>
    <w:rsid w:val="00843077"/>
    <w:rsid w:val="00844128"/>
    <w:rsid w:val="00844E57"/>
    <w:rsid w:val="008461F0"/>
    <w:rsid w:val="00846939"/>
    <w:rsid w:val="00846997"/>
    <w:rsid w:val="00846C4C"/>
    <w:rsid w:val="008472C3"/>
    <w:rsid w:val="00847D79"/>
    <w:rsid w:val="00847E89"/>
    <w:rsid w:val="008507BE"/>
    <w:rsid w:val="008510CD"/>
    <w:rsid w:val="00851D38"/>
    <w:rsid w:val="00851FDE"/>
    <w:rsid w:val="008524B9"/>
    <w:rsid w:val="008531B5"/>
    <w:rsid w:val="00853969"/>
    <w:rsid w:val="00854EB1"/>
    <w:rsid w:val="00855F69"/>
    <w:rsid w:val="00856A9A"/>
    <w:rsid w:val="00856DEF"/>
    <w:rsid w:val="00857C56"/>
    <w:rsid w:val="00860210"/>
    <w:rsid w:val="00860FE3"/>
    <w:rsid w:val="00861831"/>
    <w:rsid w:val="00865266"/>
    <w:rsid w:val="00865AED"/>
    <w:rsid w:val="00866CFD"/>
    <w:rsid w:val="0086736A"/>
    <w:rsid w:val="00867558"/>
    <w:rsid w:val="00870286"/>
    <w:rsid w:val="00870DEE"/>
    <w:rsid w:val="00871272"/>
    <w:rsid w:val="00872FA1"/>
    <w:rsid w:val="00873A46"/>
    <w:rsid w:val="00874EC4"/>
    <w:rsid w:val="00876038"/>
    <w:rsid w:val="008760ED"/>
    <w:rsid w:val="008768E7"/>
    <w:rsid w:val="00876D25"/>
    <w:rsid w:val="00880E4F"/>
    <w:rsid w:val="00880E7D"/>
    <w:rsid w:val="00880FBE"/>
    <w:rsid w:val="00881600"/>
    <w:rsid w:val="008816E2"/>
    <w:rsid w:val="00883409"/>
    <w:rsid w:val="008841DE"/>
    <w:rsid w:val="00884F7A"/>
    <w:rsid w:val="00884FE2"/>
    <w:rsid w:val="0088581F"/>
    <w:rsid w:val="0088634C"/>
    <w:rsid w:val="008866EE"/>
    <w:rsid w:val="00887241"/>
    <w:rsid w:val="008872F1"/>
    <w:rsid w:val="00887F13"/>
    <w:rsid w:val="008905DA"/>
    <w:rsid w:val="00890981"/>
    <w:rsid w:val="00892848"/>
    <w:rsid w:val="00892B2B"/>
    <w:rsid w:val="00893A5E"/>
    <w:rsid w:val="008946D7"/>
    <w:rsid w:val="00894A49"/>
    <w:rsid w:val="00895365"/>
    <w:rsid w:val="0089550C"/>
    <w:rsid w:val="0089573E"/>
    <w:rsid w:val="008958DF"/>
    <w:rsid w:val="00895A80"/>
    <w:rsid w:val="00897128"/>
    <w:rsid w:val="00897A88"/>
    <w:rsid w:val="008A076D"/>
    <w:rsid w:val="008A14FD"/>
    <w:rsid w:val="008A1ED8"/>
    <w:rsid w:val="008A2974"/>
    <w:rsid w:val="008B03B3"/>
    <w:rsid w:val="008B053F"/>
    <w:rsid w:val="008B08BB"/>
    <w:rsid w:val="008B292C"/>
    <w:rsid w:val="008B37AD"/>
    <w:rsid w:val="008B3BEC"/>
    <w:rsid w:val="008B4463"/>
    <w:rsid w:val="008B5168"/>
    <w:rsid w:val="008B51F8"/>
    <w:rsid w:val="008B5C25"/>
    <w:rsid w:val="008B7EE1"/>
    <w:rsid w:val="008C03A2"/>
    <w:rsid w:val="008C127A"/>
    <w:rsid w:val="008C134E"/>
    <w:rsid w:val="008C1761"/>
    <w:rsid w:val="008C1BEB"/>
    <w:rsid w:val="008C279F"/>
    <w:rsid w:val="008C36DE"/>
    <w:rsid w:val="008C3ED3"/>
    <w:rsid w:val="008C4CFF"/>
    <w:rsid w:val="008C5B9E"/>
    <w:rsid w:val="008C6BC9"/>
    <w:rsid w:val="008D112D"/>
    <w:rsid w:val="008D195E"/>
    <w:rsid w:val="008D35C9"/>
    <w:rsid w:val="008D380E"/>
    <w:rsid w:val="008D3BD6"/>
    <w:rsid w:val="008D4D05"/>
    <w:rsid w:val="008D4DB8"/>
    <w:rsid w:val="008D5526"/>
    <w:rsid w:val="008D614D"/>
    <w:rsid w:val="008D6845"/>
    <w:rsid w:val="008D6E8D"/>
    <w:rsid w:val="008D7367"/>
    <w:rsid w:val="008D799F"/>
    <w:rsid w:val="008E0AFF"/>
    <w:rsid w:val="008E0F05"/>
    <w:rsid w:val="008E0FC4"/>
    <w:rsid w:val="008E1601"/>
    <w:rsid w:val="008E44A3"/>
    <w:rsid w:val="008E58FA"/>
    <w:rsid w:val="008E5C41"/>
    <w:rsid w:val="008E63E9"/>
    <w:rsid w:val="008F08D4"/>
    <w:rsid w:val="008F100F"/>
    <w:rsid w:val="008F2434"/>
    <w:rsid w:val="008F2E01"/>
    <w:rsid w:val="008F3465"/>
    <w:rsid w:val="008F3A30"/>
    <w:rsid w:val="008F3BDE"/>
    <w:rsid w:val="008F475A"/>
    <w:rsid w:val="008F4959"/>
    <w:rsid w:val="008F6C85"/>
    <w:rsid w:val="008F7418"/>
    <w:rsid w:val="00900AFC"/>
    <w:rsid w:val="00900F8C"/>
    <w:rsid w:val="00901807"/>
    <w:rsid w:val="009023A4"/>
    <w:rsid w:val="00902CAC"/>
    <w:rsid w:val="0090329D"/>
    <w:rsid w:val="00903622"/>
    <w:rsid w:val="009042E8"/>
    <w:rsid w:val="00905DB4"/>
    <w:rsid w:val="00906156"/>
    <w:rsid w:val="0091062A"/>
    <w:rsid w:val="00912944"/>
    <w:rsid w:val="00912A10"/>
    <w:rsid w:val="00912DAB"/>
    <w:rsid w:val="009133D6"/>
    <w:rsid w:val="00913C1B"/>
    <w:rsid w:val="00915716"/>
    <w:rsid w:val="00915FCC"/>
    <w:rsid w:val="009166D1"/>
    <w:rsid w:val="009167C5"/>
    <w:rsid w:val="009167FC"/>
    <w:rsid w:val="00922227"/>
    <w:rsid w:val="00922457"/>
    <w:rsid w:val="00922FC9"/>
    <w:rsid w:val="009242EB"/>
    <w:rsid w:val="00925E37"/>
    <w:rsid w:val="00926B13"/>
    <w:rsid w:val="00927CFB"/>
    <w:rsid w:val="009308CD"/>
    <w:rsid w:val="00930AF9"/>
    <w:rsid w:val="009312CB"/>
    <w:rsid w:val="00931302"/>
    <w:rsid w:val="009336F4"/>
    <w:rsid w:val="00934464"/>
    <w:rsid w:val="00934CD5"/>
    <w:rsid w:val="00934D37"/>
    <w:rsid w:val="00934D87"/>
    <w:rsid w:val="0093796D"/>
    <w:rsid w:val="00941823"/>
    <w:rsid w:val="00941DC6"/>
    <w:rsid w:val="00942059"/>
    <w:rsid w:val="0094237C"/>
    <w:rsid w:val="009432DD"/>
    <w:rsid w:val="009434BC"/>
    <w:rsid w:val="00944586"/>
    <w:rsid w:val="00944C58"/>
    <w:rsid w:val="00944FFF"/>
    <w:rsid w:val="009469D9"/>
    <w:rsid w:val="00946FF5"/>
    <w:rsid w:val="00950882"/>
    <w:rsid w:val="0095177A"/>
    <w:rsid w:val="009519DD"/>
    <w:rsid w:val="00951D61"/>
    <w:rsid w:val="00954345"/>
    <w:rsid w:val="009549BA"/>
    <w:rsid w:val="00955528"/>
    <w:rsid w:val="00955636"/>
    <w:rsid w:val="00955E2E"/>
    <w:rsid w:val="009560B2"/>
    <w:rsid w:val="009564C4"/>
    <w:rsid w:val="009567AD"/>
    <w:rsid w:val="00960B3A"/>
    <w:rsid w:val="00961043"/>
    <w:rsid w:val="009610EE"/>
    <w:rsid w:val="0096318D"/>
    <w:rsid w:val="00963AC7"/>
    <w:rsid w:val="009651A3"/>
    <w:rsid w:val="009651DA"/>
    <w:rsid w:val="0096520F"/>
    <w:rsid w:val="0096614A"/>
    <w:rsid w:val="009678EB"/>
    <w:rsid w:val="00970309"/>
    <w:rsid w:val="00972304"/>
    <w:rsid w:val="00972CE7"/>
    <w:rsid w:val="00973F3B"/>
    <w:rsid w:val="00974DF5"/>
    <w:rsid w:val="0097523D"/>
    <w:rsid w:val="00975A61"/>
    <w:rsid w:val="00976053"/>
    <w:rsid w:val="00976D4B"/>
    <w:rsid w:val="009770F9"/>
    <w:rsid w:val="00980704"/>
    <w:rsid w:val="0098123D"/>
    <w:rsid w:val="0098455B"/>
    <w:rsid w:val="0098555D"/>
    <w:rsid w:val="009863BB"/>
    <w:rsid w:val="0098725B"/>
    <w:rsid w:val="00987E2A"/>
    <w:rsid w:val="009906FB"/>
    <w:rsid w:val="0099078E"/>
    <w:rsid w:val="00990BA6"/>
    <w:rsid w:val="009911C6"/>
    <w:rsid w:val="009913B7"/>
    <w:rsid w:val="0099152C"/>
    <w:rsid w:val="00991D53"/>
    <w:rsid w:val="00992D8F"/>
    <w:rsid w:val="0099414D"/>
    <w:rsid w:val="0099471A"/>
    <w:rsid w:val="009949AB"/>
    <w:rsid w:val="009949E1"/>
    <w:rsid w:val="00994C0B"/>
    <w:rsid w:val="00994C13"/>
    <w:rsid w:val="00995F41"/>
    <w:rsid w:val="009A05F6"/>
    <w:rsid w:val="009A1664"/>
    <w:rsid w:val="009A1B99"/>
    <w:rsid w:val="009A1BDC"/>
    <w:rsid w:val="009A2063"/>
    <w:rsid w:val="009A24C1"/>
    <w:rsid w:val="009A251A"/>
    <w:rsid w:val="009A2BA1"/>
    <w:rsid w:val="009A2F19"/>
    <w:rsid w:val="009A34A4"/>
    <w:rsid w:val="009A363A"/>
    <w:rsid w:val="009A3D10"/>
    <w:rsid w:val="009A4B0B"/>
    <w:rsid w:val="009A5741"/>
    <w:rsid w:val="009A683A"/>
    <w:rsid w:val="009A6B8E"/>
    <w:rsid w:val="009A6CEE"/>
    <w:rsid w:val="009B01BE"/>
    <w:rsid w:val="009B0988"/>
    <w:rsid w:val="009B0C28"/>
    <w:rsid w:val="009B1050"/>
    <w:rsid w:val="009B342F"/>
    <w:rsid w:val="009B3AFC"/>
    <w:rsid w:val="009B5696"/>
    <w:rsid w:val="009B5B63"/>
    <w:rsid w:val="009B6C63"/>
    <w:rsid w:val="009B7379"/>
    <w:rsid w:val="009B76BD"/>
    <w:rsid w:val="009C116C"/>
    <w:rsid w:val="009C3AE8"/>
    <w:rsid w:val="009C432B"/>
    <w:rsid w:val="009C48FE"/>
    <w:rsid w:val="009C5604"/>
    <w:rsid w:val="009C5C3C"/>
    <w:rsid w:val="009C6153"/>
    <w:rsid w:val="009C6573"/>
    <w:rsid w:val="009C66BC"/>
    <w:rsid w:val="009C7FCD"/>
    <w:rsid w:val="009D0354"/>
    <w:rsid w:val="009D237A"/>
    <w:rsid w:val="009D4C23"/>
    <w:rsid w:val="009D5B9E"/>
    <w:rsid w:val="009D6846"/>
    <w:rsid w:val="009D68B1"/>
    <w:rsid w:val="009E0487"/>
    <w:rsid w:val="009E086C"/>
    <w:rsid w:val="009E2561"/>
    <w:rsid w:val="009E32A5"/>
    <w:rsid w:val="009E3F4C"/>
    <w:rsid w:val="009E408C"/>
    <w:rsid w:val="009E47EE"/>
    <w:rsid w:val="009E5200"/>
    <w:rsid w:val="009E5678"/>
    <w:rsid w:val="009E5CD4"/>
    <w:rsid w:val="009E5FA1"/>
    <w:rsid w:val="009E6B6B"/>
    <w:rsid w:val="009E7FEE"/>
    <w:rsid w:val="009F0E0D"/>
    <w:rsid w:val="009F0EE6"/>
    <w:rsid w:val="009F1861"/>
    <w:rsid w:val="009F1AE0"/>
    <w:rsid w:val="009F2987"/>
    <w:rsid w:val="009F2B33"/>
    <w:rsid w:val="009F3558"/>
    <w:rsid w:val="009F414F"/>
    <w:rsid w:val="009F4BC4"/>
    <w:rsid w:val="009F5D2E"/>
    <w:rsid w:val="00A00D73"/>
    <w:rsid w:val="00A010C5"/>
    <w:rsid w:val="00A019F6"/>
    <w:rsid w:val="00A021DC"/>
    <w:rsid w:val="00A029B1"/>
    <w:rsid w:val="00A02CCF"/>
    <w:rsid w:val="00A02FA4"/>
    <w:rsid w:val="00A03BE2"/>
    <w:rsid w:val="00A0423D"/>
    <w:rsid w:val="00A04E82"/>
    <w:rsid w:val="00A053D8"/>
    <w:rsid w:val="00A054A2"/>
    <w:rsid w:val="00A05525"/>
    <w:rsid w:val="00A057D3"/>
    <w:rsid w:val="00A059A3"/>
    <w:rsid w:val="00A05B93"/>
    <w:rsid w:val="00A066C2"/>
    <w:rsid w:val="00A10C00"/>
    <w:rsid w:val="00A117A5"/>
    <w:rsid w:val="00A118E5"/>
    <w:rsid w:val="00A1302C"/>
    <w:rsid w:val="00A139B0"/>
    <w:rsid w:val="00A1445E"/>
    <w:rsid w:val="00A1476D"/>
    <w:rsid w:val="00A156C6"/>
    <w:rsid w:val="00A16F27"/>
    <w:rsid w:val="00A177B3"/>
    <w:rsid w:val="00A1783A"/>
    <w:rsid w:val="00A17C7D"/>
    <w:rsid w:val="00A17D48"/>
    <w:rsid w:val="00A20272"/>
    <w:rsid w:val="00A2098D"/>
    <w:rsid w:val="00A213AB"/>
    <w:rsid w:val="00A23538"/>
    <w:rsid w:val="00A23FA9"/>
    <w:rsid w:val="00A240CE"/>
    <w:rsid w:val="00A24637"/>
    <w:rsid w:val="00A2765A"/>
    <w:rsid w:val="00A2786D"/>
    <w:rsid w:val="00A31927"/>
    <w:rsid w:val="00A32472"/>
    <w:rsid w:val="00A32595"/>
    <w:rsid w:val="00A33299"/>
    <w:rsid w:val="00A336F7"/>
    <w:rsid w:val="00A33ECF"/>
    <w:rsid w:val="00A344E8"/>
    <w:rsid w:val="00A34DFE"/>
    <w:rsid w:val="00A35D1D"/>
    <w:rsid w:val="00A365D1"/>
    <w:rsid w:val="00A36939"/>
    <w:rsid w:val="00A36C70"/>
    <w:rsid w:val="00A407A7"/>
    <w:rsid w:val="00A40E05"/>
    <w:rsid w:val="00A41778"/>
    <w:rsid w:val="00A420F1"/>
    <w:rsid w:val="00A42183"/>
    <w:rsid w:val="00A426D8"/>
    <w:rsid w:val="00A42BA3"/>
    <w:rsid w:val="00A45341"/>
    <w:rsid w:val="00A46C0B"/>
    <w:rsid w:val="00A51228"/>
    <w:rsid w:val="00A51BAA"/>
    <w:rsid w:val="00A53647"/>
    <w:rsid w:val="00A53C9C"/>
    <w:rsid w:val="00A54A9A"/>
    <w:rsid w:val="00A5587A"/>
    <w:rsid w:val="00A55C52"/>
    <w:rsid w:val="00A55F58"/>
    <w:rsid w:val="00A57892"/>
    <w:rsid w:val="00A57E56"/>
    <w:rsid w:val="00A616C3"/>
    <w:rsid w:val="00A62476"/>
    <w:rsid w:val="00A65180"/>
    <w:rsid w:val="00A65236"/>
    <w:rsid w:val="00A65A7A"/>
    <w:rsid w:val="00A664B8"/>
    <w:rsid w:val="00A66873"/>
    <w:rsid w:val="00A676A9"/>
    <w:rsid w:val="00A70833"/>
    <w:rsid w:val="00A71354"/>
    <w:rsid w:val="00A730CA"/>
    <w:rsid w:val="00A7329C"/>
    <w:rsid w:val="00A73606"/>
    <w:rsid w:val="00A73BEB"/>
    <w:rsid w:val="00A758BE"/>
    <w:rsid w:val="00A75D2D"/>
    <w:rsid w:val="00A76F5D"/>
    <w:rsid w:val="00A80997"/>
    <w:rsid w:val="00A80E13"/>
    <w:rsid w:val="00A81977"/>
    <w:rsid w:val="00A81A84"/>
    <w:rsid w:val="00A823AA"/>
    <w:rsid w:val="00A82EBA"/>
    <w:rsid w:val="00A83638"/>
    <w:rsid w:val="00A841FD"/>
    <w:rsid w:val="00A86262"/>
    <w:rsid w:val="00A866AE"/>
    <w:rsid w:val="00A87259"/>
    <w:rsid w:val="00A90609"/>
    <w:rsid w:val="00A91827"/>
    <w:rsid w:val="00A926EC"/>
    <w:rsid w:val="00A9383E"/>
    <w:rsid w:val="00A939B4"/>
    <w:rsid w:val="00A93FCE"/>
    <w:rsid w:val="00A95CB4"/>
    <w:rsid w:val="00A9695B"/>
    <w:rsid w:val="00A97D6B"/>
    <w:rsid w:val="00AA00BF"/>
    <w:rsid w:val="00AA3CB6"/>
    <w:rsid w:val="00AA42A1"/>
    <w:rsid w:val="00AA44AF"/>
    <w:rsid w:val="00AA4E06"/>
    <w:rsid w:val="00AA65BA"/>
    <w:rsid w:val="00AA6A95"/>
    <w:rsid w:val="00AA7425"/>
    <w:rsid w:val="00AA77D1"/>
    <w:rsid w:val="00AB2024"/>
    <w:rsid w:val="00AB22F3"/>
    <w:rsid w:val="00AB3C56"/>
    <w:rsid w:val="00AB4795"/>
    <w:rsid w:val="00AB637C"/>
    <w:rsid w:val="00AB6E87"/>
    <w:rsid w:val="00AB7FF5"/>
    <w:rsid w:val="00AC00A8"/>
    <w:rsid w:val="00AC0147"/>
    <w:rsid w:val="00AC045C"/>
    <w:rsid w:val="00AC0EF6"/>
    <w:rsid w:val="00AC1705"/>
    <w:rsid w:val="00AC2A43"/>
    <w:rsid w:val="00AC3CE3"/>
    <w:rsid w:val="00AC3F1F"/>
    <w:rsid w:val="00AC450C"/>
    <w:rsid w:val="00AC488F"/>
    <w:rsid w:val="00AC5132"/>
    <w:rsid w:val="00AC56CE"/>
    <w:rsid w:val="00AC64A0"/>
    <w:rsid w:val="00AC6A6E"/>
    <w:rsid w:val="00AC748D"/>
    <w:rsid w:val="00AD1171"/>
    <w:rsid w:val="00AD2899"/>
    <w:rsid w:val="00AD3779"/>
    <w:rsid w:val="00AD3B0A"/>
    <w:rsid w:val="00AD6BA7"/>
    <w:rsid w:val="00AD6E88"/>
    <w:rsid w:val="00AD6F23"/>
    <w:rsid w:val="00AE02A4"/>
    <w:rsid w:val="00AE1C4F"/>
    <w:rsid w:val="00AE4667"/>
    <w:rsid w:val="00AE4CAA"/>
    <w:rsid w:val="00AE4D10"/>
    <w:rsid w:val="00AE53D9"/>
    <w:rsid w:val="00AE5B00"/>
    <w:rsid w:val="00AE7A21"/>
    <w:rsid w:val="00AE7A6A"/>
    <w:rsid w:val="00AF26A1"/>
    <w:rsid w:val="00AF2915"/>
    <w:rsid w:val="00AF2D58"/>
    <w:rsid w:val="00AF369A"/>
    <w:rsid w:val="00AF455B"/>
    <w:rsid w:val="00AF601A"/>
    <w:rsid w:val="00AF6AEA"/>
    <w:rsid w:val="00AF6CCE"/>
    <w:rsid w:val="00AF6FF3"/>
    <w:rsid w:val="00B00281"/>
    <w:rsid w:val="00B00E3D"/>
    <w:rsid w:val="00B01357"/>
    <w:rsid w:val="00B01FB8"/>
    <w:rsid w:val="00B02226"/>
    <w:rsid w:val="00B03E29"/>
    <w:rsid w:val="00B040E1"/>
    <w:rsid w:val="00B102C5"/>
    <w:rsid w:val="00B11A0D"/>
    <w:rsid w:val="00B15DDE"/>
    <w:rsid w:val="00B16085"/>
    <w:rsid w:val="00B17298"/>
    <w:rsid w:val="00B1739C"/>
    <w:rsid w:val="00B205AA"/>
    <w:rsid w:val="00B22C9B"/>
    <w:rsid w:val="00B23272"/>
    <w:rsid w:val="00B23E46"/>
    <w:rsid w:val="00B24154"/>
    <w:rsid w:val="00B242AE"/>
    <w:rsid w:val="00B26FBA"/>
    <w:rsid w:val="00B27508"/>
    <w:rsid w:val="00B309E3"/>
    <w:rsid w:val="00B30E15"/>
    <w:rsid w:val="00B323B8"/>
    <w:rsid w:val="00B32573"/>
    <w:rsid w:val="00B32871"/>
    <w:rsid w:val="00B33BC1"/>
    <w:rsid w:val="00B33D77"/>
    <w:rsid w:val="00B35770"/>
    <w:rsid w:val="00B35CDB"/>
    <w:rsid w:val="00B37D27"/>
    <w:rsid w:val="00B409D1"/>
    <w:rsid w:val="00B40EE6"/>
    <w:rsid w:val="00B410D4"/>
    <w:rsid w:val="00B419FD"/>
    <w:rsid w:val="00B42CE8"/>
    <w:rsid w:val="00B43331"/>
    <w:rsid w:val="00B443C9"/>
    <w:rsid w:val="00B44535"/>
    <w:rsid w:val="00B4477E"/>
    <w:rsid w:val="00B44957"/>
    <w:rsid w:val="00B461F9"/>
    <w:rsid w:val="00B47751"/>
    <w:rsid w:val="00B478F6"/>
    <w:rsid w:val="00B50FE7"/>
    <w:rsid w:val="00B51681"/>
    <w:rsid w:val="00B516F1"/>
    <w:rsid w:val="00B532F3"/>
    <w:rsid w:val="00B54432"/>
    <w:rsid w:val="00B544AA"/>
    <w:rsid w:val="00B55848"/>
    <w:rsid w:val="00B56C0F"/>
    <w:rsid w:val="00B56F83"/>
    <w:rsid w:val="00B600D2"/>
    <w:rsid w:val="00B60A34"/>
    <w:rsid w:val="00B60E67"/>
    <w:rsid w:val="00B61237"/>
    <w:rsid w:val="00B62E34"/>
    <w:rsid w:val="00B63B53"/>
    <w:rsid w:val="00B64136"/>
    <w:rsid w:val="00B64AE7"/>
    <w:rsid w:val="00B64CC9"/>
    <w:rsid w:val="00B65977"/>
    <w:rsid w:val="00B6695D"/>
    <w:rsid w:val="00B66D38"/>
    <w:rsid w:val="00B670A7"/>
    <w:rsid w:val="00B6737B"/>
    <w:rsid w:val="00B700E1"/>
    <w:rsid w:val="00B7018A"/>
    <w:rsid w:val="00B7089B"/>
    <w:rsid w:val="00B7182E"/>
    <w:rsid w:val="00B71887"/>
    <w:rsid w:val="00B71B93"/>
    <w:rsid w:val="00B73481"/>
    <w:rsid w:val="00B76CCF"/>
    <w:rsid w:val="00B76F1F"/>
    <w:rsid w:val="00B77F98"/>
    <w:rsid w:val="00B8054C"/>
    <w:rsid w:val="00B8066C"/>
    <w:rsid w:val="00B80A64"/>
    <w:rsid w:val="00B81323"/>
    <w:rsid w:val="00B81529"/>
    <w:rsid w:val="00B84BAD"/>
    <w:rsid w:val="00B8500F"/>
    <w:rsid w:val="00B8624D"/>
    <w:rsid w:val="00B87B2B"/>
    <w:rsid w:val="00B87E4D"/>
    <w:rsid w:val="00B9046B"/>
    <w:rsid w:val="00B91763"/>
    <w:rsid w:val="00B9186C"/>
    <w:rsid w:val="00B92C43"/>
    <w:rsid w:val="00B9457F"/>
    <w:rsid w:val="00B949C4"/>
    <w:rsid w:val="00B950AB"/>
    <w:rsid w:val="00B9553A"/>
    <w:rsid w:val="00B95FCA"/>
    <w:rsid w:val="00B96F42"/>
    <w:rsid w:val="00BA01E2"/>
    <w:rsid w:val="00BA0870"/>
    <w:rsid w:val="00BA1078"/>
    <w:rsid w:val="00BA120E"/>
    <w:rsid w:val="00BA22E2"/>
    <w:rsid w:val="00BA3F7B"/>
    <w:rsid w:val="00BA4EEE"/>
    <w:rsid w:val="00BA57CB"/>
    <w:rsid w:val="00BA5C28"/>
    <w:rsid w:val="00BA6CB0"/>
    <w:rsid w:val="00BB0FE4"/>
    <w:rsid w:val="00BB179D"/>
    <w:rsid w:val="00BB30E7"/>
    <w:rsid w:val="00BB39F6"/>
    <w:rsid w:val="00BB3D1D"/>
    <w:rsid w:val="00BB4F32"/>
    <w:rsid w:val="00BB5F32"/>
    <w:rsid w:val="00BB7F89"/>
    <w:rsid w:val="00BC2442"/>
    <w:rsid w:val="00BC3CC5"/>
    <w:rsid w:val="00BC41F7"/>
    <w:rsid w:val="00BC4869"/>
    <w:rsid w:val="00BC51C4"/>
    <w:rsid w:val="00BC5611"/>
    <w:rsid w:val="00BD13B0"/>
    <w:rsid w:val="00BD1533"/>
    <w:rsid w:val="00BD31DB"/>
    <w:rsid w:val="00BD4419"/>
    <w:rsid w:val="00BD7752"/>
    <w:rsid w:val="00BD7B35"/>
    <w:rsid w:val="00BD7D5F"/>
    <w:rsid w:val="00BE4DA1"/>
    <w:rsid w:val="00BE6C5B"/>
    <w:rsid w:val="00BE7944"/>
    <w:rsid w:val="00BE7B2D"/>
    <w:rsid w:val="00BF0DAF"/>
    <w:rsid w:val="00BF1B14"/>
    <w:rsid w:val="00BF1D05"/>
    <w:rsid w:val="00BF1DA2"/>
    <w:rsid w:val="00BF3A75"/>
    <w:rsid w:val="00BF470E"/>
    <w:rsid w:val="00BF79E9"/>
    <w:rsid w:val="00BF7F9D"/>
    <w:rsid w:val="00C021F3"/>
    <w:rsid w:val="00C03BDE"/>
    <w:rsid w:val="00C05D6E"/>
    <w:rsid w:val="00C0627C"/>
    <w:rsid w:val="00C063FA"/>
    <w:rsid w:val="00C0684C"/>
    <w:rsid w:val="00C06B88"/>
    <w:rsid w:val="00C06CB7"/>
    <w:rsid w:val="00C07FBD"/>
    <w:rsid w:val="00C11A69"/>
    <w:rsid w:val="00C12981"/>
    <w:rsid w:val="00C13CB4"/>
    <w:rsid w:val="00C1438D"/>
    <w:rsid w:val="00C15C22"/>
    <w:rsid w:val="00C1651C"/>
    <w:rsid w:val="00C167B6"/>
    <w:rsid w:val="00C16B7A"/>
    <w:rsid w:val="00C17735"/>
    <w:rsid w:val="00C20116"/>
    <w:rsid w:val="00C219DF"/>
    <w:rsid w:val="00C25436"/>
    <w:rsid w:val="00C26077"/>
    <w:rsid w:val="00C26966"/>
    <w:rsid w:val="00C26A3E"/>
    <w:rsid w:val="00C26CB3"/>
    <w:rsid w:val="00C276FF"/>
    <w:rsid w:val="00C30FD5"/>
    <w:rsid w:val="00C3158B"/>
    <w:rsid w:val="00C32E81"/>
    <w:rsid w:val="00C33490"/>
    <w:rsid w:val="00C339B8"/>
    <w:rsid w:val="00C3427A"/>
    <w:rsid w:val="00C35064"/>
    <w:rsid w:val="00C3655E"/>
    <w:rsid w:val="00C365A8"/>
    <w:rsid w:val="00C37C3C"/>
    <w:rsid w:val="00C37F85"/>
    <w:rsid w:val="00C408B2"/>
    <w:rsid w:val="00C40996"/>
    <w:rsid w:val="00C40D89"/>
    <w:rsid w:val="00C4114A"/>
    <w:rsid w:val="00C41AF9"/>
    <w:rsid w:val="00C421CD"/>
    <w:rsid w:val="00C4226D"/>
    <w:rsid w:val="00C4241F"/>
    <w:rsid w:val="00C42728"/>
    <w:rsid w:val="00C45478"/>
    <w:rsid w:val="00C46866"/>
    <w:rsid w:val="00C47552"/>
    <w:rsid w:val="00C50629"/>
    <w:rsid w:val="00C50A62"/>
    <w:rsid w:val="00C50ABC"/>
    <w:rsid w:val="00C518CE"/>
    <w:rsid w:val="00C545FB"/>
    <w:rsid w:val="00C55562"/>
    <w:rsid w:val="00C56678"/>
    <w:rsid w:val="00C57666"/>
    <w:rsid w:val="00C57930"/>
    <w:rsid w:val="00C57FE1"/>
    <w:rsid w:val="00C6254F"/>
    <w:rsid w:val="00C63392"/>
    <w:rsid w:val="00C64C9D"/>
    <w:rsid w:val="00C65659"/>
    <w:rsid w:val="00C67558"/>
    <w:rsid w:val="00C70823"/>
    <w:rsid w:val="00C72F00"/>
    <w:rsid w:val="00C73237"/>
    <w:rsid w:val="00C74567"/>
    <w:rsid w:val="00C74D0A"/>
    <w:rsid w:val="00C7509A"/>
    <w:rsid w:val="00C75D08"/>
    <w:rsid w:val="00C76CD5"/>
    <w:rsid w:val="00C83433"/>
    <w:rsid w:val="00C83DFA"/>
    <w:rsid w:val="00C83F64"/>
    <w:rsid w:val="00C85664"/>
    <w:rsid w:val="00C85F69"/>
    <w:rsid w:val="00C8691C"/>
    <w:rsid w:val="00C86A03"/>
    <w:rsid w:val="00C87621"/>
    <w:rsid w:val="00C879C2"/>
    <w:rsid w:val="00C87E4F"/>
    <w:rsid w:val="00C90D49"/>
    <w:rsid w:val="00C90E01"/>
    <w:rsid w:val="00C911CD"/>
    <w:rsid w:val="00C93155"/>
    <w:rsid w:val="00C93A93"/>
    <w:rsid w:val="00C940DE"/>
    <w:rsid w:val="00C95AAE"/>
    <w:rsid w:val="00C96998"/>
    <w:rsid w:val="00C972FF"/>
    <w:rsid w:val="00C974E2"/>
    <w:rsid w:val="00C97DDD"/>
    <w:rsid w:val="00CA0833"/>
    <w:rsid w:val="00CA11F5"/>
    <w:rsid w:val="00CA204E"/>
    <w:rsid w:val="00CA2C41"/>
    <w:rsid w:val="00CA303B"/>
    <w:rsid w:val="00CA345E"/>
    <w:rsid w:val="00CA3E12"/>
    <w:rsid w:val="00CA40EB"/>
    <w:rsid w:val="00CA4E71"/>
    <w:rsid w:val="00CA4EDB"/>
    <w:rsid w:val="00CA5865"/>
    <w:rsid w:val="00CA5BC6"/>
    <w:rsid w:val="00CA7455"/>
    <w:rsid w:val="00CB0248"/>
    <w:rsid w:val="00CB0435"/>
    <w:rsid w:val="00CB0AD7"/>
    <w:rsid w:val="00CB12BD"/>
    <w:rsid w:val="00CB214A"/>
    <w:rsid w:val="00CB22CC"/>
    <w:rsid w:val="00CB235F"/>
    <w:rsid w:val="00CB2511"/>
    <w:rsid w:val="00CB2EA8"/>
    <w:rsid w:val="00CB3C28"/>
    <w:rsid w:val="00CB3F05"/>
    <w:rsid w:val="00CB5329"/>
    <w:rsid w:val="00CC043F"/>
    <w:rsid w:val="00CC0A91"/>
    <w:rsid w:val="00CC0BEE"/>
    <w:rsid w:val="00CC0FC6"/>
    <w:rsid w:val="00CC2790"/>
    <w:rsid w:val="00CC4B41"/>
    <w:rsid w:val="00CC5B4D"/>
    <w:rsid w:val="00CC5F1E"/>
    <w:rsid w:val="00CC69B5"/>
    <w:rsid w:val="00CC6A11"/>
    <w:rsid w:val="00CC6C3C"/>
    <w:rsid w:val="00CC7383"/>
    <w:rsid w:val="00CD003E"/>
    <w:rsid w:val="00CD1899"/>
    <w:rsid w:val="00CD254C"/>
    <w:rsid w:val="00CD2A6F"/>
    <w:rsid w:val="00CD3EBE"/>
    <w:rsid w:val="00CD43C4"/>
    <w:rsid w:val="00CD5AC3"/>
    <w:rsid w:val="00CD618D"/>
    <w:rsid w:val="00CD688F"/>
    <w:rsid w:val="00CE007F"/>
    <w:rsid w:val="00CE0806"/>
    <w:rsid w:val="00CE0ADB"/>
    <w:rsid w:val="00CE0E39"/>
    <w:rsid w:val="00CE2140"/>
    <w:rsid w:val="00CE28AD"/>
    <w:rsid w:val="00CE31A4"/>
    <w:rsid w:val="00CE3B8C"/>
    <w:rsid w:val="00CE3EE4"/>
    <w:rsid w:val="00CE3F49"/>
    <w:rsid w:val="00CE407B"/>
    <w:rsid w:val="00CE41F7"/>
    <w:rsid w:val="00CE5410"/>
    <w:rsid w:val="00CE5505"/>
    <w:rsid w:val="00CE5551"/>
    <w:rsid w:val="00CE59CD"/>
    <w:rsid w:val="00CE61E8"/>
    <w:rsid w:val="00CE7B6D"/>
    <w:rsid w:val="00CE7DBE"/>
    <w:rsid w:val="00CF021D"/>
    <w:rsid w:val="00CF0C59"/>
    <w:rsid w:val="00CF13CF"/>
    <w:rsid w:val="00CF1CE2"/>
    <w:rsid w:val="00CF20F8"/>
    <w:rsid w:val="00CF354D"/>
    <w:rsid w:val="00CF3AD8"/>
    <w:rsid w:val="00CF3E51"/>
    <w:rsid w:val="00CF55DC"/>
    <w:rsid w:val="00CF5BC6"/>
    <w:rsid w:val="00D02DA1"/>
    <w:rsid w:val="00D07070"/>
    <w:rsid w:val="00D1092C"/>
    <w:rsid w:val="00D10A6E"/>
    <w:rsid w:val="00D10F14"/>
    <w:rsid w:val="00D1129D"/>
    <w:rsid w:val="00D11E56"/>
    <w:rsid w:val="00D12B0F"/>
    <w:rsid w:val="00D12CCB"/>
    <w:rsid w:val="00D12D72"/>
    <w:rsid w:val="00D12E92"/>
    <w:rsid w:val="00D141B6"/>
    <w:rsid w:val="00D16350"/>
    <w:rsid w:val="00D16364"/>
    <w:rsid w:val="00D164F6"/>
    <w:rsid w:val="00D17AA2"/>
    <w:rsid w:val="00D203BA"/>
    <w:rsid w:val="00D20585"/>
    <w:rsid w:val="00D20FC8"/>
    <w:rsid w:val="00D2210C"/>
    <w:rsid w:val="00D23775"/>
    <w:rsid w:val="00D23E43"/>
    <w:rsid w:val="00D265F0"/>
    <w:rsid w:val="00D2747D"/>
    <w:rsid w:val="00D2751A"/>
    <w:rsid w:val="00D27F98"/>
    <w:rsid w:val="00D301B2"/>
    <w:rsid w:val="00D3135F"/>
    <w:rsid w:val="00D31D18"/>
    <w:rsid w:val="00D31D49"/>
    <w:rsid w:val="00D349DE"/>
    <w:rsid w:val="00D352EE"/>
    <w:rsid w:val="00D360F7"/>
    <w:rsid w:val="00D36299"/>
    <w:rsid w:val="00D367A8"/>
    <w:rsid w:val="00D36EAF"/>
    <w:rsid w:val="00D37159"/>
    <w:rsid w:val="00D3747A"/>
    <w:rsid w:val="00D4016B"/>
    <w:rsid w:val="00D4022F"/>
    <w:rsid w:val="00D40F73"/>
    <w:rsid w:val="00D41CEB"/>
    <w:rsid w:val="00D43361"/>
    <w:rsid w:val="00D4357C"/>
    <w:rsid w:val="00D435A5"/>
    <w:rsid w:val="00D440A6"/>
    <w:rsid w:val="00D44232"/>
    <w:rsid w:val="00D467CF"/>
    <w:rsid w:val="00D51A07"/>
    <w:rsid w:val="00D51CB5"/>
    <w:rsid w:val="00D5484B"/>
    <w:rsid w:val="00D551C8"/>
    <w:rsid w:val="00D55E75"/>
    <w:rsid w:val="00D5643C"/>
    <w:rsid w:val="00D566A1"/>
    <w:rsid w:val="00D57729"/>
    <w:rsid w:val="00D60EDC"/>
    <w:rsid w:val="00D61317"/>
    <w:rsid w:val="00D62CD0"/>
    <w:rsid w:val="00D62EFE"/>
    <w:rsid w:val="00D62FD1"/>
    <w:rsid w:val="00D632C4"/>
    <w:rsid w:val="00D63970"/>
    <w:rsid w:val="00D64795"/>
    <w:rsid w:val="00D67C1E"/>
    <w:rsid w:val="00D70CCA"/>
    <w:rsid w:val="00D71A47"/>
    <w:rsid w:val="00D71B72"/>
    <w:rsid w:val="00D71C8F"/>
    <w:rsid w:val="00D71D48"/>
    <w:rsid w:val="00D738B8"/>
    <w:rsid w:val="00D74841"/>
    <w:rsid w:val="00D74FA2"/>
    <w:rsid w:val="00D75FF6"/>
    <w:rsid w:val="00D760CE"/>
    <w:rsid w:val="00D764A6"/>
    <w:rsid w:val="00D766E1"/>
    <w:rsid w:val="00D77068"/>
    <w:rsid w:val="00D77D9B"/>
    <w:rsid w:val="00D80342"/>
    <w:rsid w:val="00D80C1E"/>
    <w:rsid w:val="00D81FD8"/>
    <w:rsid w:val="00D82106"/>
    <w:rsid w:val="00D82BA3"/>
    <w:rsid w:val="00D83434"/>
    <w:rsid w:val="00D83FEC"/>
    <w:rsid w:val="00D840A7"/>
    <w:rsid w:val="00D84343"/>
    <w:rsid w:val="00D8442A"/>
    <w:rsid w:val="00D846F5"/>
    <w:rsid w:val="00D84BB7"/>
    <w:rsid w:val="00D84BC4"/>
    <w:rsid w:val="00D855B9"/>
    <w:rsid w:val="00D86312"/>
    <w:rsid w:val="00D874D7"/>
    <w:rsid w:val="00D903E7"/>
    <w:rsid w:val="00D90414"/>
    <w:rsid w:val="00D9095F"/>
    <w:rsid w:val="00D90974"/>
    <w:rsid w:val="00D91357"/>
    <w:rsid w:val="00D91A50"/>
    <w:rsid w:val="00D9231F"/>
    <w:rsid w:val="00D93A40"/>
    <w:rsid w:val="00D93AD9"/>
    <w:rsid w:val="00D95141"/>
    <w:rsid w:val="00D95E6D"/>
    <w:rsid w:val="00D95F9F"/>
    <w:rsid w:val="00D97348"/>
    <w:rsid w:val="00DA0862"/>
    <w:rsid w:val="00DA0A19"/>
    <w:rsid w:val="00DA0D73"/>
    <w:rsid w:val="00DA0E81"/>
    <w:rsid w:val="00DA180B"/>
    <w:rsid w:val="00DA2CC3"/>
    <w:rsid w:val="00DA36D2"/>
    <w:rsid w:val="00DA474B"/>
    <w:rsid w:val="00DA4E76"/>
    <w:rsid w:val="00DA52BE"/>
    <w:rsid w:val="00DA5E31"/>
    <w:rsid w:val="00DA5F7D"/>
    <w:rsid w:val="00DA6130"/>
    <w:rsid w:val="00DA63E9"/>
    <w:rsid w:val="00DA7DB6"/>
    <w:rsid w:val="00DB0907"/>
    <w:rsid w:val="00DB0A41"/>
    <w:rsid w:val="00DB25D7"/>
    <w:rsid w:val="00DB3A1B"/>
    <w:rsid w:val="00DB50FD"/>
    <w:rsid w:val="00DB6ACC"/>
    <w:rsid w:val="00DB7699"/>
    <w:rsid w:val="00DB7924"/>
    <w:rsid w:val="00DC1565"/>
    <w:rsid w:val="00DC299E"/>
    <w:rsid w:val="00DC3E7E"/>
    <w:rsid w:val="00DC448A"/>
    <w:rsid w:val="00DC4C93"/>
    <w:rsid w:val="00DC50AD"/>
    <w:rsid w:val="00DC5701"/>
    <w:rsid w:val="00DC78BC"/>
    <w:rsid w:val="00DD0BA8"/>
    <w:rsid w:val="00DD0FD8"/>
    <w:rsid w:val="00DD1306"/>
    <w:rsid w:val="00DD1FEA"/>
    <w:rsid w:val="00DD2F52"/>
    <w:rsid w:val="00DD4719"/>
    <w:rsid w:val="00DD4BB9"/>
    <w:rsid w:val="00DD6A89"/>
    <w:rsid w:val="00DD73F4"/>
    <w:rsid w:val="00DD7DBD"/>
    <w:rsid w:val="00DE0BE1"/>
    <w:rsid w:val="00DE0E16"/>
    <w:rsid w:val="00DE144B"/>
    <w:rsid w:val="00DE1C4E"/>
    <w:rsid w:val="00DE381B"/>
    <w:rsid w:val="00DE465E"/>
    <w:rsid w:val="00DE507E"/>
    <w:rsid w:val="00DE51A8"/>
    <w:rsid w:val="00DE52F1"/>
    <w:rsid w:val="00DE559B"/>
    <w:rsid w:val="00DE55B1"/>
    <w:rsid w:val="00DE5825"/>
    <w:rsid w:val="00DE598B"/>
    <w:rsid w:val="00DE64C2"/>
    <w:rsid w:val="00DE6EC3"/>
    <w:rsid w:val="00DF1B08"/>
    <w:rsid w:val="00DF35A8"/>
    <w:rsid w:val="00DF35F8"/>
    <w:rsid w:val="00DF384C"/>
    <w:rsid w:val="00DF40D3"/>
    <w:rsid w:val="00DF6104"/>
    <w:rsid w:val="00DF6111"/>
    <w:rsid w:val="00DF766A"/>
    <w:rsid w:val="00E008AC"/>
    <w:rsid w:val="00E018AF"/>
    <w:rsid w:val="00E03124"/>
    <w:rsid w:val="00E03374"/>
    <w:rsid w:val="00E03B98"/>
    <w:rsid w:val="00E03D46"/>
    <w:rsid w:val="00E05876"/>
    <w:rsid w:val="00E05F30"/>
    <w:rsid w:val="00E062AB"/>
    <w:rsid w:val="00E069AA"/>
    <w:rsid w:val="00E10143"/>
    <w:rsid w:val="00E10448"/>
    <w:rsid w:val="00E109ED"/>
    <w:rsid w:val="00E10ABF"/>
    <w:rsid w:val="00E11EBF"/>
    <w:rsid w:val="00E125D6"/>
    <w:rsid w:val="00E1338A"/>
    <w:rsid w:val="00E145A4"/>
    <w:rsid w:val="00E147B6"/>
    <w:rsid w:val="00E16A9E"/>
    <w:rsid w:val="00E1721C"/>
    <w:rsid w:val="00E17E31"/>
    <w:rsid w:val="00E21353"/>
    <w:rsid w:val="00E21AE6"/>
    <w:rsid w:val="00E224F0"/>
    <w:rsid w:val="00E225B0"/>
    <w:rsid w:val="00E24C82"/>
    <w:rsid w:val="00E25369"/>
    <w:rsid w:val="00E25EB5"/>
    <w:rsid w:val="00E277EE"/>
    <w:rsid w:val="00E30759"/>
    <w:rsid w:val="00E31705"/>
    <w:rsid w:val="00E31D10"/>
    <w:rsid w:val="00E32E22"/>
    <w:rsid w:val="00E34026"/>
    <w:rsid w:val="00E342F5"/>
    <w:rsid w:val="00E344DF"/>
    <w:rsid w:val="00E35355"/>
    <w:rsid w:val="00E35399"/>
    <w:rsid w:val="00E3554D"/>
    <w:rsid w:val="00E35E75"/>
    <w:rsid w:val="00E408AB"/>
    <w:rsid w:val="00E40AA2"/>
    <w:rsid w:val="00E40F77"/>
    <w:rsid w:val="00E41EDE"/>
    <w:rsid w:val="00E42068"/>
    <w:rsid w:val="00E42841"/>
    <w:rsid w:val="00E42CEB"/>
    <w:rsid w:val="00E45209"/>
    <w:rsid w:val="00E4545E"/>
    <w:rsid w:val="00E4634E"/>
    <w:rsid w:val="00E471D9"/>
    <w:rsid w:val="00E504AF"/>
    <w:rsid w:val="00E509CC"/>
    <w:rsid w:val="00E50D9E"/>
    <w:rsid w:val="00E510F1"/>
    <w:rsid w:val="00E512C4"/>
    <w:rsid w:val="00E51974"/>
    <w:rsid w:val="00E526B2"/>
    <w:rsid w:val="00E52AAF"/>
    <w:rsid w:val="00E533CF"/>
    <w:rsid w:val="00E54899"/>
    <w:rsid w:val="00E568FF"/>
    <w:rsid w:val="00E600B1"/>
    <w:rsid w:val="00E605D7"/>
    <w:rsid w:val="00E61755"/>
    <w:rsid w:val="00E61DA0"/>
    <w:rsid w:val="00E6392E"/>
    <w:rsid w:val="00E64307"/>
    <w:rsid w:val="00E64968"/>
    <w:rsid w:val="00E65590"/>
    <w:rsid w:val="00E65A3B"/>
    <w:rsid w:val="00E65F3C"/>
    <w:rsid w:val="00E66A34"/>
    <w:rsid w:val="00E67185"/>
    <w:rsid w:val="00E67737"/>
    <w:rsid w:val="00E6791D"/>
    <w:rsid w:val="00E67F93"/>
    <w:rsid w:val="00E67FA8"/>
    <w:rsid w:val="00E7138C"/>
    <w:rsid w:val="00E73246"/>
    <w:rsid w:val="00E75120"/>
    <w:rsid w:val="00E766D2"/>
    <w:rsid w:val="00E76E02"/>
    <w:rsid w:val="00E80A9A"/>
    <w:rsid w:val="00E826FF"/>
    <w:rsid w:val="00E82E07"/>
    <w:rsid w:val="00E845BA"/>
    <w:rsid w:val="00E86C65"/>
    <w:rsid w:val="00E9163A"/>
    <w:rsid w:val="00E923F0"/>
    <w:rsid w:val="00E93931"/>
    <w:rsid w:val="00E93A8B"/>
    <w:rsid w:val="00E95312"/>
    <w:rsid w:val="00E9605F"/>
    <w:rsid w:val="00E96D65"/>
    <w:rsid w:val="00E97742"/>
    <w:rsid w:val="00E97DAA"/>
    <w:rsid w:val="00EA01C4"/>
    <w:rsid w:val="00EA02FA"/>
    <w:rsid w:val="00EA2056"/>
    <w:rsid w:val="00EA3352"/>
    <w:rsid w:val="00EA3367"/>
    <w:rsid w:val="00EA35B4"/>
    <w:rsid w:val="00EA51A8"/>
    <w:rsid w:val="00EA5B14"/>
    <w:rsid w:val="00EA67B4"/>
    <w:rsid w:val="00EA70B5"/>
    <w:rsid w:val="00EA70C7"/>
    <w:rsid w:val="00EA7358"/>
    <w:rsid w:val="00EB2F72"/>
    <w:rsid w:val="00EB3D58"/>
    <w:rsid w:val="00EB46E8"/>
    <w:rsid w:val="00EB47A4"/>
    <w:rsid w:val="00EB523E"/>
    <w:rsid w:val="00EB64A4"/>
    <w:rsid w:val="00EB6D81"/>
    <w:rsid w:val="00EC063E"/>
    <w:rsid w:val="00EC088D"/>
    <w:rsid w:val="00EC0D43"/>
    <w:rsid w:val="00EC0FA7"/>
    <w:rsid w:val="00EC2156"/>
    <w:rsid w:val="00EC2E7D"/>
    <w:rsid w:val="00EC521E"/>
    <w:rsid w:val="00EC54FF"/>
    <w:rsid w:val="00EC60E5"/>
    <w:rsid w:val="00EC6709"/>
    <w:rsid w:val="00EC7716"/>
    <w:rsid w:val="00ED1959"/>
    <w:rsid w:val="00ED1BBB"/>
    <w:rsid w:val="00ED1F35"/>
    <w:rsid w:val="00ED2132"/>
    <w:rsid w:val="00ED33C2"/>
    <w:rsid w:val="00ED3B52"/>
    <w:rsid w:val="00ED3F2A"/>
    <w:rsid w:val="00ED40D0"/>
    <w:rsid w:val="00ED4D86"/>
    <w:rsid w:val="00ED59A5"/>
    <w:rsid w:val="00ED6206"/>
    <w:rsid w:val="00ED7933"/>
    <w:rsid w:val="00EE0150"/>
    <w:rsid w:val="00EE1906"/>
    <w:rsid w:val="00EE235B"/>
    <w:rsid w:val="00EE2F42"/>
    <w:rsid w:val="00EE41D5"/>
    <w:rsid w:val="00EE61CC"/>
    <w:rsid w:val="00EE6338"/>
    <w:rsid w:val="00EE681D"/>
    <w:rsid w:val="00EE79C2"/>
    <w:rsid w:val="00EF0C5E"/>
    <w:rsid w:val="00EF19B1"/>
    <w:rsid w:val="00EF1E69"/>
    <w:rsid w:val="00EF2DCB"/>
    <w:rsid w:val="00EF30CC"/>
    <w:rsid w:val="00EF337C"/>
    <w:rsid w:val="00EF3E51"/>
    <w:rsid w:val="00EF4968"/>
    <w:rsid w:val="00EF4D00"/>
    <w:rsid w:val="00EF4DF6"/>
    <w:rsid w:val="00EF6B35"/>
    <w:rsid w:val="00EF75B0"/>
    <w:rsid w:val="00F00628"/>
    <w:rsid w:val="00F01168"/>
    <w:rsid w:val="00F011D7"/>
    <w:rsid w:val="00F02FF9"/>
    <w:rsid w:val="00F031A3"/>
    <w:rsid w:val="00F03728"/>
    <w:rsid w:val="00F03E73"/>
    <w:rsid w:val="00F03EBA"/>
    <w:rsid w:val="00F06837"/>
    <w:rsid w:val="00F06D2A"/>
    <w:rsid w:val="00F06FC9"/>
    <w:rsid w:val="00F101D6"/>
    <w:rsid w:val="00F1047D"/>
    <w:rsid w:val="00F1312D"/>
    <w:rsid w:val="00F131A5"/>
    <w:rsid w:val="00F131CC"/>
    <w:rsid w:val="00F14085"/>
    <w:rsid w:val="00F16718"/>
    <w:rsid w:val="00F17627"/>
    <w:rsid w:val="00F17832"/>
    <w:rsid w:val="00F17B7C"/>
    <w:rsid w:val="00F200D9"/>
    <w:rsid w:val="00F20287"/>
    <w:rsid w:val="00F20BF8"/>
    <w:rsid w:val="00F2262B"/>
    <w:rsid w:val="00F22AC3"/>
    <w:rsid w:val="00F25643"/>
    <w:rsid w:val="00F25D3D"/>
    <w:rsid w:val="00F26600"/>
    <w:rsid w:val="00F26ABD"/>
    <w:rsid w:val="00F2716E"/>
    <w:rsid w:val="00F31931"/>
    <w:rsid w:val="00F33A60"/>
    <w:rsid w:val="00F35D54"/>
    <w:rsid w:val="00F35D82"/>
    <w:rsid w:val="00F36183"/>
    <w:rsid w:val="00F36360"/>
    <w:rsid w:val="00F36FE3"/>
    <w:rsid w:val="00F37AB2"/>
    <w:rsid w:val="00F40093"/>
    <w:rsid w:val="00F40249"/>
    <w:rsid w:val="00F40709"/>
    <w:rsid w:val="00F4177A"/>
    <w:rsid w:val="00F44182"/>
    <w:rsid w:val="00F44937"/>
    <w:rsid w:val="00F45363"/>
    <w:rsid w:val="00F460F1"/>
    <w:rsid w:val="00F469CA"/>
    <w:rsid w:val="00F510A8"/>
    <w:rsid w:val="00F52868"/>
    <w:rsid w:val="00F535ED"/>
    <w:rsid w:val="00F53D3E"/>
    <w:rsid w:val="00F5507D"/>
    <w:rsid w:val="00F555F9"/>
    <w:rsid w:val="00F563E7"/>
    <w:rsid w:val="00F570C2"/>
    <w:rsid w:val="00F57774"/>
    <w:rsid w:val="00F61D09"/>
    <w:rsid w:val="00F635E0"/>
    <w:rsid w:val="00F65B5E"/>
    <w:rsid w:val="00F65CA5"/>
    <w:rsid w:val="00F67720"/>
    <w:rsid w:val="00F6778C"/>
    <w:rsid w:val="00F67E14"/>
    <w:rsid w:val="00F70412"/>
    <w:rsid w:val="00F70887"/>
    <w:rsid w:val="00F72B41"/>
    <w:rsid w:val="00F72D73"/>
    <w:rsid w:val="00F73B02"/>
    <w:rsid w:val="00F74E49"/>
    <w:rsid w:val="00F75651"/>
    <w:rsid w:val="00F7572A"/>
    <w:rsid w:val="00F775FE"/>
    <w:rsid w:val="00F77977"/>
    <w:rsid w:val="00F77A92"/>
    <w:rsid w:val="00F77C17"/>
    <w:rsid w:val="00F77C7D"/>
    <w:rsid w:val="00F80161"/>
    <w:rsid w:val="00F810E5"/>
    <w:rsid w:val="00F81592"/>
    <w:rsid w:val="00F81BCD"/>
    <w:rsid w:val="00F820D7"/>
    <w:rsid w:val="00F8273F"/>
    <w:rsid w:val="00F82773"/>
    <w:rsid w:val="00F82DCF"/>
    <w:rsid w:val="00F846E6"/>
    <w:rsid w:val="00F84EFB"/>
    <w:rsid w:val="00F8515F"/>
    <w:rsid w:val="00F86058"/>
    <w:rsid w:val="00F86219"/>
    <w:rsid w:val="00F86361"/>
    <w:rsid w:val="00F86364"/>
    <w:rsid w:val="00F87243"/>
    <w:rsid w:val="00F875A5"/>
    <w:rsid w:val="00F87888"/>
    <w:rsid w:val="00F913F4"/>
    <w:rsid w:val="00F915C9"/>
    <w:rsid w:val="00F91605"/>
    <w:rsid w:val="00F92F0C"/>
    <w:rsid w:val="00F9431B"/>
    <w:rsid w:val="00F9608E"/>
    <w:rsid w:val="00F968CC"/>
    <w:rsid w:val="00FA010F"/>
    <w:rsid w:val="00FA2BF1"/>
    <w:rsid w:val="00FA33A9"/>
    <w:rsid w:val="00FA38AC"/>
    <w:rsid w:val="00FA3C31"/>
    <w:rsid w:val="00FA3F36"/>
    <w:rsid w:val="00FA48A4"/>
    <w:rsid w:val="00FA520B"/>
    <w:rsid w:val="00FA595A"/>
    <w:rsid w:val="00FA5DF1"/>
    <w:rsid w:val="00FB119D"/>
    <w:rsid w:val="00FB1A7A"/>
    <w:rsid w:val="00FB23AD"/>
    <w:rsid w:val="00FB23EF"/>
    <w:rsid w:val="00FB243C"/>
    <w:rsid w:val="00FB3112"/>
    <w:rsid w:val="00FB3959"/>
    <w:rsid w:val="00FB5253"/>
    <w:rsid w:val="00FB566D"/>
    <w:rsid w:val="00FC012B"/>
    <w:rsid w:val="00FC01DD"/>
    <w:rsid w:val="00FC049C"/>
    <w:rsid w:val="00FC1023"/>
    <w:rsid w:val="00FC1667"/>
    <w:rsid w:val="00FC1924"/>
    <w:rsid w:val="00FC2704"/>
    <w:rsid w:val="00FC2E92"/>
    <w:rsid w:val="00FC4428"/>
    <w:rsid w:val="00FC45D7"/>
    <w:rsid w:val="00FC4EFD"/>
    <w:rsid w:val="00FC513F"/>
    <w:rsid w:val="00FC55EC"/>
    <w:rsid w:val="00FC5FFC"/>
    <w:rsid w:val="00FD043B"/>
    <w:rsid w:val="00FD0C04"/>
    <w:rsid w:val="00FD309B"/>
    <w:rsid w:val="00FD3399"/>
    <w:rsid w:val="00FD5317"/>
    <w:rsid w:val="00FD5820"/>
    <w:rsid w:val="00FE0914"/>
    <w:rsid w:val="00FE096F"/>
    <w:rsid w:val="00FE19FA"/>
    <w:rsid w:val="00FE1DD4"/>
    <w:rsid w:val="00FE2AF1"/>
    <w:rsid w:val="00FE317D"/>
    <w:rsid w:val="00FE4368"/>
    <w:rsid w:val="00FE5504"/>
    <w:rsid w:val="00FE59C3"/>
    <w:rsid w:val="00FE6033"/>
    <w:rsid w:val="00FE7AB7"/>
    <w:rsid w:val="00FF0BFA"/>
    <w:rsid w:val="00FF2176"/>
    <w:rsid w:val="00FF28C2"/>
    <w:rsid w:val="00FF2D55"/>
    <w:rsid w:val="00FF3FE8"/>
    <w:rsid w:val="00FF68F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C43FA95"/>
  <w15:docId w15:val="{234B5382-7D63-4392-A08B-284293770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F65CA5"/>
    <w:pPr>
      <w:spacing w:line="276" w:lineRule="auto"/>
      <w:jc w:val="both"/>
    </w:pPr>
    <w:rPr>
      <w:rFonts w:ascii="Garamond" w:eastAsia="Times New Roman" w:hAnsi="Garamond"/>
      <w:sz w:val="24"/>
      <w:szCs w:val="22"/>
      <w:lang w:eastAsia="en-US"/>
    </w:rPr>
  </w:style>
  <w:style w:type="paragraph" w:styleId="Titolo1">
    <w:name w:val="heading 1"/>
    <w:basedOn w:val="Normale"/>
    <w:next w:val="Titolo2"/>
    <w:uiPriority w:val="9"/>
    <w:qFormat/>
    <w:rsid w:val="000C7063"/>
    <w:pPr>
      <w:keepNext/>
      <w:keepLines/>
      <w:spacing w:before="280" w:after="280"/>
      <w:jc w:val="center"/>
      <w:outlineLvl w:val="0"/>
    </w:pPr>
    <w:rPr>
      <w:rFonts w:ascii="Titillium" w:eastAsia="Calibri" w:hAnsi="Titillium"/>
      <w:b/>
      <w:bCs/>
      <w:szCs w:val="28"/>
      <w:lang w:val="x-none" w:eastAsia="x-none"/>
    </w:rPr>
  </w:style>
  <w:style w:type="paragraph" w:styleId="Titolo2">
    <w:name w:val="heading 2"/>
    <w:basedOn w:val="Normale"/>
    <w:next w:val="Titolo3"/>
    <w:autoRedefine/>
    <w:uiPriority w:val="9"/>
    <w:qFormat/>
    <w:rsid w:val="00182EDC"/>
    <w:pPr>
      <w:keepNext/>
      <w:numPr>
        <w:numId w:val="1"/>
      </w:numPr>
      <w:spacing w:before="240" w:after="200"/>
      <w:outlineLvl w:val="1"/>
    </w:pPr>
    <w:rPr>
      <w:rFonts w:ascii="Titillium" w:hAnsi="Titillium" w:cs="Calibri"/>
      <w:b/>
      <w:bCs/>
      <w:iCs/>
      <w:caps/>
      <w:sz w:val="18"/>
      <w:szCs w:val="18"/>
      <w:lang w:val="x-none"/>
    </w:rPr>
  </w:style>
  <w:style w:type="paragraph" w:styleId="Titolo3">
    <w:name w:val="heading 3"/>
    <w:basedOn w:val="Normale"/>
    <w:next w:val="Normale"/>
    <w:uiPriority w:val="9"/>
    <w:qFormat/>
    <w:pPr>
      <w:keepNext/>
      <w:numPr>
        <w:numId w:val="21"/>
      </w:numPr>
      <w:spacing w:before="240" w:after="60"/>
      <w:outlineLvl w:val="2"/>
    </w:pPr>
    <w:rPr>
      <w:b/>
      <w:bCs/>
      <w:caps/>
      <w:sz w:val="22"/>
      <w:szCs w:val="26"/>
      <w:lang w:val="x-none"/>
    </w:rPr>
  </w:style>
  <w:style w:type="paragraph" w:styleId="Titolo4">
    <w:name w:val="heading 4"/>
    <w:basedOn w:val="Normale"/>
    <w:next w:val="Normale"/>
    <w:uiPriority w:val="9"/>
    <w:qFormat/>
    <w:pPr>
      <w:keepNext/>
      <w:keepLines/>
      <w:spacing w:before="200"/>
      <w:outlineLvl w:val="3"/>
    </w:pPr>
    <w:rPr>
      <w:rFonts w:ascii="Cambria" w:eastAsia="Calibri" w:hAnsi="Cambria"/>
      <w:b/>
      <w:bCs/>
      <w:i/>
      <w:iCs/>
      <w:color w:val="4F81BD"/>
    </w:rPr>
  </w:style>
  <w:style w:type="paragraph" w:styleId="Titolo5">
    <w:name w:val="heading 5"/>
    <w:basedOn w:val="Normale"/>
    <w:next w:val="Normale"/>
    <w:uiPriority w:val="9"/>
    <w:qFormat/>
    <w:pPr>
      <w:spacing w:before="240" w:after="60"/>
      <w:outlineLvl w:val="4"/>
    </w:pPr>
    <w:rPr>
      <w:b/>
      <w:bCs/>
      <w:i/>
      <w:iCs/>
      <w:sz w:val="26"/>
      <w:szCs w:val="26"/>
      <w:lang w:val="x-none"/>
    </w:rPr>
  </w:style>
  <w:style w:type="paragraph" w:styleId="Titolo6">
    <w:name w:val="heading 6"/>
    <w:basedOn w:val="Normale"/>
    <w:next w:val="Normale"/>
    <w:link w:val="Titolo6Carattere"/>
    <w:uiPriority w:val="9"/>
    <w:semiHidden/>
    <w:unhideWhenUsed/>
    <w:qFormat/>
    <w:rsid w:val="00D141B6"/>
    <w:pPr>
      <w:keepNext/>
      <w:keepLines/>
      <w:spacing w:before="40" w:line="259" w:lineRule="auto"/>
      <w:jc w:val="left"/>
      <w:outlineLvl w:val="5"/>
    </w:pPr>
    <w:rPr>
      <w:rFonts w:ascii="Calibri Light" w:eastAsia="0" w:hAnsi="Calibri Light"/>
      <w:color w:val="1F3763"/>
      <w:sz w:val="20"/>
      <w:szCs w:val="20"/>
      <w:lang w:eastAsia="it-IT"/>
    </w:rPr>
  </w:style>
  <w:style w:type="paragraph" w:styleId="Titolo7">
    <w:name w:val="heading 7"/>
    <w:basedOn w:val="Normale"/>
    <w:next w:val="Normale"/>
    <w:link w:val="Titolo7Carattere"/>
    <w:uiPriority w:val="9"/>
    <w:semiHidden/>
    <w:unhideWhenUsed/>
    <w:qFormat/>
    <w:rsid w:val="00D141B6"/>
    <w:pPr>
      <w:keepNext/>
      <w:keepLines/>
      <w:spacing w:before="40" w:line="259" w:lineRule="auto"/>
      <w:jc w:val="left"/>
      <w:outlineLvl w:val="6"/>
    </w:pPr>
    <w:rPr>
      <w:rFonts w:ascii="Calibri Light" w:eastAsia="0" w:hAnsi="Calibri Light"/>
      <w:i/>
      <w:iCs/>
      <w:color w:val="1F3763"/>
      <w:sz w:val="20"/>
      <w:szCs w:val="20"/>
      <w:lang w:eastAsia="it-IT"/>
    </w:rPr>
  </w:style>
  <w:style w:type="paragraph" w:styleId="Titolo8">
    <w:name w:val="heading 8"/>
    <w:basedOn w:val="Normale"/>
    <w:next w:val="Normale"/>
    <w:link w:val="Titolo8Carattere"/>
    <w:uiPriority w:val="9"/>
    <w:semiHidden/>
    <w:unhideWhenUsed/>
    <w:qFormat/>
    <w:rsid w:val="00D141B6"/>
    <w:pPr>
      <w:keepNext/>
      <w:keepLines/>
      <w:spacing w:line="259" w:lineRule="auto"/>
      <w:jc w:val="left"/>
      <w:outlineLvl w:val="7"/>
    </w:pPr>
    <w:rPr>
      <w:rFonts w:asciiTheme="minorHAnsi" w:eastAsiaTheme="majorEastAsia" w:hAnsiTheme="minorHAnsi" w:cstheme="majorBidi"/>
      <w:i/>
      <w:iCs/>
      <w:color w:val="272727" w:themeColor="text1" w:themeTint="D8"/>
      <w:kern w:val="2"/>
      <w:sz w:val="22"/>
      <w14:ligatures w14:val="standardContextual"/>
    </w:rPr>
  </w:style>
  <w:style w:type="paragraph" w:styleId="Titolo9">
    <w:name w:val="heading 9"/>
    <w:basedOn w:val="Normale"/>
    <w:next w:val="Normale"/>
    <w:link w:val="Titolo9Carattere"/>
    <w:uiPriority w:val="9"/>
    <w:semiHidden/>
    <w:unhideWhenUsed/>
    <w:qFormat/>
    <w:rsid w:val="00D141B6"/>
    <w:pPr>
      <w:keepNext/>
      <w:keepLines/>
      <w:spacing w:line="259" w:lineRule="auto"/>
      <w:jc w:val="left"/>
      <w:outlineLvl w:val="8"/>
    </w:pPr>
    <w:rPr>
      <w:rFonts w:asciiTheme="minorHAnsi" w:eastAsiaTheme="majorEastAsia" w:hAnsiTheme="minorHAnsi" w:cstheme="majorBidi"/>
      <w:color w:val="272727" w:themeColor="text1" w:themeTint="D8"/>
      <w:kern w:val="2"/>
      <w:sz w:val="22"/>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uiPriority w:val="9"/>
    <w:qFormat/>
    <w:rPr>
      <w:rFonts w:ascii="Garamond" w:hAnsi="Garamond"/>
      <w:b/>
      <w:bCs/>
      <w:sz w:val="28"/>
      <w:szCs w:val="28"/>
      <w:lang w:val="x-none" w:eastAsia="x-none"/>
    </w:rPr>
  </w:style>
  <w:style w:type="character" w:customStyle="1" w:styleId="Titolo3Carattere">
    <w:name w:val="Titolo 3 Carattere"/>
    <w:uiPriority w:val="9"/>
    <w:qFormat/>
    <w:rPr>
      <w:rFonts w:ascii="Garamond" w:eastAsia="Times New Roman" w:hAnsi="Garamond"/>
      <w:b/>
      <w:bCs/>
      <w:caps/>
      <w:sz w:val="22"/>
      <w:szCs w:val="26"/>
      <w:lang w:val="x-none" w:eastAsia="en-US"/>
    </w:rPr>
  </w:style>
  <w:style w:type="character" w:customStyle="1" w:styleId="Titolo5Carattere">
    <w:name w:val="Titolo 5 Carattere"/>
    <w:uiPriority w:val="9"/>
    <w:qFormat/>
    <w:rPr>
      <w:rFonts w:ascii="Calibri" w:eastAsia="Times New Roman" w:hAnsi="Calibri" w:cs="Times New Roman"/>
      <w:b/>
      <w:bCs/>
      <w:i/>
      <w:iCs/>
      <w:sz w:val="26"/>
      <w:szCs w:val="26"/>
      <w:lang w:eastAsia="en-US"/>
    </w:rPr>
  </w:style>
  <w:style w:type="character" w:customStyle="1" w:styleId="TestofumettoCarattere">
    <w:name w:val="Testo fumetto Carattere"/>
    <w:qFormat/>
    <w:rPr>
      <w:rFonts w:ascii="Tahoma" w:hAnsi="Tahoma" w:cs="Tahoma"/>
      <w:sz w:val="16"/>
      <w:szCs w:val="16"/>
    </w:rPr>
  </w:style>
  <w:style w:type="character" w:customStyle="1" w:styleId="IntestazioneCarattere">
    <w:name w:val="Intestazione Carattere"/>
    <w:uiPriority w:val="99"/>
    <w:qFormat/>
    <w:rPr>
      <w:rFonts w:eastAsia="Times New Roman" w:cs="Times New Roman"/>
      <w:lang w:val="x-none" w:eastAsia="it-IT"/>
    </w:rPr>
  </w:style>
  <w:style w:type="character" w:customStyle="1" w:styleId="PidipaginaCarattere">
    <w:name w:val="Piè di pagina Carattere"/>
    <w:uiPriority w:val="99"/>
    <w:qFormat/>
    <w:rPr>
      <w:rFonts w:eastAsia="Times New Roman" w:cs="Times New Roman"/>
      <w:lang w:val="x-none" w:eastAsia="it-IT"/>
    </w:rPr>
  </w:style>
  <w:style w:type="character" w:customStyle="1" w:styleId="TestonotaapidipaginaCarattere">
    <w:name w:val="Testo nota a piè di pagina Carattere"/>
    <w:qFormat/>
    <w:rPr>
      <w:rFonts w:eastAsia="Times New Roman" w:cs="Times New Roman"/>
      <w:sz w:val="20"/>
      <w:szCs w:val="20"/>
      <w:lang w:val="x-none" w:eastAsia="it-IT"/>
    </w:rPr>
  </w:style>
  <w:style w:type="character" w:customStyle="1" w:styleId="Richiamoallanotaapidipagina">
    <w:name w:val="Richiamo alla nota a piè di pagina"/>
    <w:rPr>
      <w:rFonts w:cs="Times New Roman"/>
      <w:vertAlign w:val="superscript"/>
    </w:rPr>
  </w:style>
  <w:style w:type="character" w:customStyle="1" w:styleId="FootnoteCharacters">
    <w:name w:val="Footnote Characters"/>
    <w:basedOn w:val="Carpredefinitoparagrafo"/>
    <w:uiPriority w:val="99"/>
    <w:semiHidden/>
    <w:unhideWhenUsed/>
    <w:qFormat/>
    <w:rsid w:val="00CE51F7"/>
    <w:rPr>
      <w:vertAlign w:val="superscript"/>
    </w:rPr>
  </w:style>
  <w:style w:type="character" w:customStyle="1" w:styleId="CollegamentoInternet">
    <w:name w:val="Collegamento Internet"/>
    <w:basedOn w:val="Carpredefinitoparagrafo"/>
    <w:uiPriority w:val="99"/>
    <w:unhideWhenUsed/>
    <w:rsid w:val="00D24928"/>
    <w:rPr>
      <w:color w:val="0563C1" w:themeColor="hyperlink"/>
      <w:u w:val="single"/>
    </w:rPr>
  </w:style>
  <w:style w:type="character" w:customStyle="1" w:styleId="Stile1Carattere">
    <w:name w:val="Stile1 Carattere"/>
    <w:qFormat/>
    <w:rPr>
      <w:rFonts w:ascii="Times New Roman" w:hAnsi="Times New Roman" w:cs="Times New Roman"/>
      <w:b/>
      <w:bCs/>
      <w:color w:val="365F91"/>
      <w:sz w:val="28"/>
      <w:szCs w:val="28"/>
      <w:lang w:val="x-none" w:eastAsia="it-IT"/>
    </w:rPr>
  </w:style>
  <w:style w:type="character" w:customStyle="1" w:styleId="NoSpacingChar">
    <w:name w:val="No Spacing Char"/>
    <w:qFormat/>
    <w:rPr>
      <w:sz w:val="22"/>
      <w:szCs w:val="22"/>
      <w:lang w:val="it-IT" w:eastAsia="en-US" w:bidi="ar-SA"/>
    </w:rPr>
  </w:style>
  <w:style w:type="character" w:customStyle="1" w:styleId="Enfasi">
    <w:name w:val="Enfasi"/>
    <w:qFormat/>
    <w:rPr>
      <w:rFonts w:cs="Times New Roman"/>
      <w:i/>
      <w:iCs/>
    </w:rPr>
  </w:style>
  <w:style w:type="character" w:customStyle="1" w:styleId="TestonotadichiusuraCarattere">
    <w:name w:val="Testo nota di chiusura Carattere"/>
    <w:qFormat/>
    <w:rPr>
      <w:rFonts w:eastAsia="Times New Roman"/>
      <w:lang w:eastAsia="en-US"/>
    </w:rPr>
  </w:style>
  <w:style w:type="character" w:customStyle="1" w:styleId="Richiamoallanotadichiusura">
    <w:name w:val="Richiamo alla nota di chiusura"/>
    <w:rPr>
      <w:vertAlign w:val="superscript"/>
    </w:rPr>
  </w:style>
  <w:style w:type="character" w:customStyle="1" w:styleId="EndnoteCharacters">
    <w:name w:val="Endnote Characters"/>
    <w:qFormat/>
    <w:rPr>
      <w:vertAlign w:val="superscript"/>
    </w:rPr>
  </w:style>
  <w:style w:type="character" w:customStyle="1" w:styleId="descrizione">
    <w:name w:val="descrizione"/>
    <w:qFormat/>
    <w:rPr>
      <w:b/>
      <w:bCs/>
      <w:color w:val="5B76A0"/>
      <w:sz w:val="28"/>
      <w:szCs w:val="28"/>
    </w:rPr>
  </w:style>
  <w:style w:type="character" w:styleId="Enfasigrassetto">
    <w:name w:val="Strong"/>
    <w:uiPriority w:val="22"/>
    <w:qFormat/>
    <w:rPr>
      <w:b/>
      <w:bCs/>
    </w:rPr>
  </w:style>
  <w:style w:type="character" w:customStyle="1" w:styleId="provvrubrica">
    <w:name w:val="provv_rubrica"/>
    <w:qFormat/>
    <w:rPr>
      <w:i/>
      <w:iCs/>
    </w:rPr>
  </w:style>
  <w:style w:type="character" w:styleId="Rimandocommento">
    <w:name w:val="annotation reference"/>
    <w:uiPriority w:val="99"/>
    <w:qFormat/>
    <w:rPr>
      <w:sz w:val="16"/>
      <w:szCs w:val="16"/>
    </w:rPr>
  </w:style>
  <w:style w:type="character" w:customStyle="1" w:styleId="TestocommentoCarattere">
    <w:name w:val="Testo commento Carattere"/>
    <w:uiPriority w:val="99"/>
    <w:qFormat/>
    <w:rPr>
      <w:rFonts w:eastAsia="Times New Roman"/>
      <w:lang w:eastAsia="en-US"/>
    </w:rPr>
  </w:style>
  <w:style w:type="character" w:customStyle="1" w:styleId="SoggettocommentoCarattere">
    <w:name w:val="Soggetto commento Carattere"/>
    <w:uiPriority w:val="99"/>
    <w:qFormat/>
    <w:rPr>
      <w:rFonts w:eastAsia="Times New Roman"/>
      <w:b/>
      <w:bCs/>
      <w:lang w:eastAsia="en-US"/>
    </w:rPr>
  </w:style>
  <w:style w:type="character" w:customStyle="1" w:styleId="provvnumcomma">
    <w:name w:val="provv_numcomma"/>
    <w:basedOn w:val="Carpredefinitoparagrafo"/>
    <w:qFormat/>
  </w:style>
  <w:style w:type="character" w:customStyle="1" w:styleId="anchorantimarker">
    <w:name w:val="anchor_anti_marker"/>
    <w:qFormat/>
    <w:rPr>
      <w:color w:val="000000"/>
    </w:rPr>
  </w:style>
  <w:style w:type="character" w:customStyle="1" w:styleId="linkneltesto">
    <w:name w:val="link_nel_testo"/>
    <w:qFormat/>
    <w:rPr>
      <w:i/>
      <w:iCs/>
    </w:rPr>
  </w:style>
  <w:style w:type="character" w:customStyle="1" w:styleId="CorpotestoCarattere1">
    <w:name w:val="Corpo testo Carattere1"/>
    <w:qFormat/>
    <w:rPr>
      <w:rFonts w:ascii="Times New Roman" w:eastAsia="Times New Roman" w:hAnsi="Times New Roman"/>
      <w:sz w:val="26"/>
    </w:rPr>
  </w:style>
  <w:style w:type="character" w:customStyle="1" w:styleId="Rientrocorpodeltesto3Carattere">
    <w:name w:val="Rientro corpo del testo 3 Carattere"/>
    <w:qFormat/>
    <w:rPr>
      <w:rFonts w:eastAsia="Times New Roman"/>
      <w:sz w:val="16"/>
      <w:szCs w:val="16"/>
      <w:lang w:eastAsia="en-US"/>
    </w:rPr>
  </w:style>
  <w:style w:type="character" w:customStyle="1" w:styleId="Corpodeltesto2Carattere">
    <w:name w:val="Corpo del testo 2 Carattere"/>
    <w:qFormat/>
    <w:rPr>
      <w:rFonts w:eastAsia="Times New Roman"/>
      <w:sz w:val="22"/>
      <w:szCs w:val="22"/>
      <w:lang w:eastAsia="en-US"/>
    </w:rPr>
  </w:style>
  <w:style w:type="character" w:customStyle="1" w:styleId="Titolo2Carattere">
    <w:name w:val="Titolo 2 Carattere"/>
    <w:uiPriority w:val="9"/>
    <w:qFormat/>
    <w:rPr>
      <w:rFonts w:ascii="Garamond" w:eastAsia="Times New Roman" w:hAnsi="Garamond"/>
      <w:b/>
      <w:bCs/>
      <w:iCs/>
      <w:caps/>
      <w:sz w:val="24"/>
      <w:szCs w:val="28"/>
      <w:lang w:val="x-none" w:eastAsia="en-US"/>
    </w:rPr>
  </w:style>
  <w:style w:type="character" w:customStyle="1" w:styleId="noteapiCarattere">
    <w:name w:val="note a piè Carattere"/>
    <w:qFormat/>
    <w:rPr>
      <w:rFonts w:ascii="Times New Roman" w:eastAsia="Times New Roman" w:hAnsi="Times New Roman" w:cs="Times New Roman"/>
      <w:sz w:val="20"/>
      <w:szCs w:val="20"/>
      <w:lang w:val="x-none" w:eastAsia="it-IT"/>
    </w:rPr>
  </w:style>
  <w:style w:type="character" w:customStyle="1" w:styleId="provvnumart">
    <w:name w:val="provv_numart"/>
    <w:qFormat/>
    <w:rPr>
      <w:b/>
      <w:bCs/>
    </w:rPr>
  </w:style>
  <w:style w:type="character" w:customStyle="1" w:styleId="MappadocumentoCarattere">
    <w:name w:val="Mappa documento Carattere"/>
    <w:qFormat/>
    <w:rPr>
      <w:rFonts w:ascii="Tahoma" w:eastAsia="Times New Roman" w:hAnsi="Tahoma" w:cs="Tahoma"/>
      <w:sz w:val="16"/>
      <w:szCs w:val="16"/>
      <w:lang w:eastAsia="en-US"/>
    </w:rPr>
  </w:style>
  <w:style w:type="character" w:customStyle="1" w:styleId="provvvigore">
    <w:name w:val="provv_vigore"/>
    <w:qFormat/>
    <w:rPr>
      <w:vanish w:val="0"/>
    </w:rPr>
  </w:style>
  <w:style w:type="character" w:customStyle="1" w:styleId="riferimento1">
    <w:name w:val="riferimento1"/>
    <w:qFormat/>
    <w:rPr>
      <w:i/>
      <w:iCs/>
      <w:color w:val="058940"/>
    </w:rPr>
  </w:style>
  <w:style w:type="character" w:customStyle="1" w:styleId="SottotitoloCarattere">
    <w:name w:val="Sottotitolo Carattere"/>
    <w:uiPriority w:val="11"/>
    <w:qFormat/>
    <w:rPr>
      <w:rFonts w:ascii="Cambria" w:eastAsia="Times New Roman" w:hAnsi="Cambria" w:cs="Times New Roman"/>
      <w:sz w:val="24"/>
      <w:szCs w:val="24"/>
      <w:lang w:eastAsia="en-US"/>
    </w:rPr>
  </w:style>
  <w:style w:type="character" w:customStyle="1" w:styleId="TitoloCarattere">
    <w:name w:val="Titolo Carattere"/>
    <w:uiPriority w:val="10"/>
    <w:qFormat/>
    <w:rPr>
      <w:rFonts w:ascii="Cambria" w:eastAsia="Times New Roman" w:hAnsi="Cambria" w:cs="Times New Roman"/>
      <w:b/>
      <w:bCs/>
      <w:kern w:val="2"/>
      <w:sz w:val="32"/>
      <w:szCs w:val="32"/>
      <w:lang w:eastAsia="en-US"/>
    </w:rPr>
  </w:style>
  <w:style w:type="character" w:customStyle="1" w:styleId="CollegamentoInternetvisitato">
    <w:name w:val="Collegamento Internet visitato"/>
    <w:rPr>
      <w:color w:val="800080"/>
      <w:u w:val="single"/>
    </w:rPr>
  </w:style>
  <w:style w:type="character" w:customStyle="1" w:styleId="Rientrocorpodeltesto2Carattere">
    <w:name w:val="Rientro corpo del testo 2 Carattere"/>
    <w:qFormat/>
    <w:rPr>
      <w:rFonts w:ascii="Times New Roman" w:eastAsia="Times New Roman" w:hAnsi="Times New Roman"/>
      <w:sz w:val="24"/>
      <w:szCs w:val="24"/>
    </w:rPr>
  </w:style>
  <w:style w:type="character" w:customStyle="1" w:styleId="CorpotestoCarattere">
    <w:name w:val="Corpo testo Carattere"/>
    <w:qFormat/>
    <w:rPr>
      <w:rFonts w:ascii="Times New Roman" w:eastAsia="Times New Roman" w:hAnsi="Times New Roman" w:cs="Times New Roman"/>
      <w:sz w:val="26"/>
      <w:szCs w:val="24"/>
      <w:lang w:eastAsia="it-IT"/>
    </w:rPr>
  </w:style>
  <w:style w:type="character" w:styleId="Numeropagina">
    <w:name w:val="page number"/>
    <w:qFormat/>
  </w:style>
  <w:style w:type="character" w:customStyle="1" w:styleId="RientrocorpodeltestoCarattere">
    <w:name w:val="Rientro corpo del testo Carattere"/>
    <w:qFormat/>
    <w:rPr>
      <w:rFonts w:ascii="Times New Roman" w:eastAsia="Times New Roman" w:hAnsi="Times New Roman"/>
      <w:b/>
      <w:bCs/>
      <w:i/>
      <w:iCs/>
    </w:rPr>
  </w:style>
  <w:style w:type="character" w:customStyle="1" w:styleId="Corpodeltesto3Carattere">
    <w:name w:val="Corpo del testo 3 Carattere"/>
    <w:qFormat/>
    <w:rPr>
      <w:rFonts w:ascii="Times New Roman" w:eastAsia="Times New Roman" w:hAnsi="Times New Roman"/>
      <w:b/>
      <w:bCs/>
      <w:i/>
      <w:iCs/>
      <w:szCs w:val="24"/>
    </w:rPr>
  </w:style>
  <w:style w:type="character" w:customStyle="1" w:styleId="CarattereCarattere2">
    <w:name w:val="Carattere Carattere2"/>
    <w:qFormat/>
    <w:rPr>
      <w:sz w:val="26"/>
      <w:szCs w:val="24"/>
      <w:lang w:val="it-IT" w:eastAsia="it-IT" w:bidi="ar-SA"/>
    </w:rPr>
  </w:style>
  <w:style w:type="character" w:customStyle="1" w:styleId="st1">
    <w:name w:val="st1"/>
    <w:qFormat/>
  </w:style>
  <w:style w:type="character" w:customStyle="1" w:styleId="Titolo4Carattere">
    <w:name w:val="Titolo 4 Carattere"/>
    <w:basedOn w:val="Carpredefinitoparagrafo"/>
    <w:uiPriority w:val="9"/>
    <w:qFormat/>
    <w:rPr>
      <w:rFonts w:ascii="Cambria" w:eastAsia="Calibri" w:hAnsi="Cambria" w:cs="Times New Roman"/>
      <w:b/>
      <w:bCs/>
      <w:i/>
      <w:iCs/>
      <w:color w:val="4F81BD"/>
      <w:sz w:val="22"/>
      <w:szCs w:val="22"/>
      <w:lang w:eastAsia="en-US"/>
    </w:rPr>
  </w:style>
  <w:style w:type="character" w:customStyle="1" w:styleId="TestonormaleCarattere">
    <w:name w:val="Testo normale Carattere"/>
    <w:basedOn w:val="Carpredefinitoparagrafo"/>
    <w:qFormat/>
    <w:rPr>
      <w:rFonts w:ascii="Garamond" w:eastAsia="Times New Roman" w:hAnsi="Garamond" w:cs="Consolas"/>
      <w:sz w:val="24"/>
      <w:szCs w:val="21"/>
      <w:lang w:eastAsia="en-US"/>
    </w:rPr>
  </w:style>
  <w:style w:type="character" w:styleId="Testosegnaposto">
    <w:name w:val="Placeholder Text"/>
    <w:basedOn w:val="Carpredefinitoparagrafo"/>
    <w:qFormat/>
    <w:rPr>
      <w:color w:val="808080"/>
    </w:rPr>
  </w:style>
  <w:style w:type="character" w:customStyle="1" w:styleId="SommariodisciplinareCarattere">
    <w:name w:val="Sommario disciplinare Carattere"/>
    <w:basedOn w:val="Titolo1Carattere"/>
    <w:qFormat/>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qFormat/>
  </w:style>
  <w:style w:type="character" w:customStyle="1" w:styleId="Saltoaindice">
    <w:name w:val="Salto a indice"/>
    <w:qFormat/>
  </w:style>
  <w:style w:type="character" w:customStyle="1" w:styleId="WW8Num27z0">
    <w:name w:val="WW8Num27z0"/>
    <w:qFormat/>
    <w:rPr>
      <w:rFonts w:ascii="Calibri" w:hAnsi="Calibri" w:cs="Calibri"/>
      <w:sz w:val="22"/>
      <w:szCs w:val="22"/>
    </w:rPr>
  </w:style>
  <w:style w:type="character" w:customStyle="1" w:styleId="WW8Num27z1">
    <w:name w:val="WW8Num27z1"/>
    <w:qFormat/>
  </w:style>
  <w:style w:type="character" w:customStyle="1" w:styleId="WW8Num27z2">
    <w:name w:val="WW8Num27z2"/>
    <w:qFormat/>
  </w:style>
  <w:style w:type="character" w:customStyle="1" w:styleId="WW8Num27z3">
    <w:name w:val="WW8Num27z3"/>
    <w:qFormat/>
  </w:style>
  <w:style w:type="character" w:customStyle="1" w:styleId="WW8Num27z4">
    <w:name w:val="WW8Num27z4"/>
    <w:qFormat/>
  </w:style>
  <w:style w:type="character" w:customStyle="1" w:styleId="WW8Num27z5">
    <w:name w:val="WW8Num27z5"/>
    <w:qFormat/>
  </w:style>
  <w:style w:type="character" w:customStyle="1" w:styleId="WW8Num27z6">
    <w:name w:val="WW8Num27z6"/>
    <w:qFormat/>
  </w:style>
  <w:style w:type="character" w:customStyle="1" w:styleId="WW8Num27z7">
    <w:name w:val="WW8Num27z7"/>
    <w:qFormat/>
  </w:style>
  <w:style w:type="character" w:customStyle="1" w:styleId="WW8Num27z8">
    <w:name w:val="WW8Num27z8"/>
    <w:qFormat/>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uiPriority w:val="34"/>
    <w:qFormat/>
  </w:style>
  <w:style w:type="character" w:customStyle="1" w:styleId="ANAC-TitoloSottoparagrafoCarattere">
    <w:name w:val="ANAC - Titolo Sottoparagrafo Carattere"/>
    <w:qFormat/>
    <w:rPr>
      <w:rFonts w:ascii="Calibri Light" w:eastAsia="0" w:hAnsi="Calibri Light"/>
      <w:color w:val="2F5496"/>
      <w:sz w:val="28"/>
      <w:szCs w:val="22"/>
    </w:rPr>
  </w:style>
  <w:style w:type="character" w:customStyle="1" w:styleId="ANAC-TitoloParagrafoCarattere">
    <w:name w:val="ANAC - Titolo Paragrafo Carattere"/>
    <w:qFormat/>
    <w:rPr>
      <w:rFonts w:ascii="Gotham Light" w:eastAsia="0" w:hAnsi="Gotham Light"/>
      <w:color w:val="2770B7"/>
      <w:sz w:val="28"/>
    </w:rPr>
  </w:style>
  <w:style w:type="character" w:customStyle="1" w:styleId="ANAC-TitoloCapitoloCarattere">
    <w:name w:val="ANAC - Titolo Capitolo Carattere"/>
    <w:qFormat/>
    <w:rPr>
      <w:rFonts w:ascii="Gotham Light" w:eastAsia="0" w:hAnsi="Gotham Light"/>
      <w:iCs/>
      <w:color w:val="2F5496"/>
      <w:sz w:val="36"/>
      <w:szCs w:val="40"/>
    </w:rPr>
  </w:style>
  <w:style w:type="character" w:customStyle="1" w:styleId="ANAC-CapitoloCarattere">
    <w:name w:val="ANAC - Capitolo Carattere"/>
    <w:qFormat/>
    <w:rPr>
      <w:rFonts w:ascii="Calibri Light" w:eastAsia="0" w:hAnsi="Calibri Light"/>
      <w:color w:val="2F5496"/>
      <w:sz w:val="32"/>
      <w:szCs w:val="32"/>
    </w:rPr>
  </w:style>
  <w:style w:type="character" w:customStyle="1" w:styleId="TitoloParagrafoChar">
    <w:name w:val="Titolo Paragrafo Char"/>
    <w:qFormat/>
    <w:rPr>
      <w:rFonts w:ascii="Calibri Light" w:eastAsia="0" w:hAnsi="Calibri Light"/>
      <w:color w:val="2F5496"/>
      <w:sz w:val="28"/>
    </w:rPr>
  </w:style>
  <w:style w:type="character" w:customStyle="1" w:styleId="Titolo7Carattere">
    <w:name w:val="Titolo 7 Carattere"/>
    <w:link w:val="Titolo7"/>
    <w:uiPriority w:val="9"/>
    <w:qFormat/>
    <w:rPr>
      <w:rFonts w:ascii="Calibri Light" w:eastAsia="0" w:hAnsi="Calibri Light"/>
      <w:i/>
      <w:iCs/>
      <w:color w:val="1F3763"/>
    </w:rPr>
  </w:style>
  <w:style w:type="character" w:customStyle="1" w:styleId="Titolo6Carattere">
    <w:name w:val="Titolo 6 Carattere"/>
    <w:link w:val="Titolo6"/>
    <w:uiPriority w:val="9"/>
    <w:qFormat/>
    <w:rPr>
      <w:rFonts w:ascii="Calibri Light" w:eastAsia="0" w:hAnsi="Calibri Light"/>
      <w:color w:val="1F3763"/>
    </w:rPr>
  </w:style>
  <w:style w:type="character" w:customStyle="1" w:styleId="TitoloCapitoloChar">
    <w:name w:val="Titolo Capitolo Char"/>
    <w:qFormat/>
    <w:rPr>
      <w:rFonts w:ascii="Gotham Light" w:eastAsia="0" w:hAnsi="Gotham Light"/>
      <w:iCs/>
      <w:color w:val="2F5496"/>
      <w:sz w:val="36"/>
      <w:szCs w:val="40"/>
    </w:rPr>
  </w:style>
  <w:style w:type="character" w:customStyle="1" w:styleId="NumeroCapitoloChar">
    <w:name w:val="Numero Capitolo Char"/>
    <w:qFormat/>
    <w:rPr>
      <w:rFonts w:ascii="Gotham Light" w:eastAsia="0" w:hAnsi="Gotham Light"/>
      <w:color w:val="2770B7"/>
      <w:sz w:val="48"/>
      <w:szCs w:val="36"/>
    </w:rPr>
  </w:style>
  <w:style w:type="character" w:customStyle="1" w:styleId="TitoloParteChar">
    <w:name w:val="Titolo Parte Char"/>
    <w:qFormat/>
    <w:rPr>
      <w:rFonts w:ascii="Gotham Book" w:eastAsia="Times New Roman (Corpo CS)" w:hAnsi="Gotham Book"/>
      <w:caps/>
      <w:color w:val="FFFFFF"/>
      <w:sz w:val="40"/>
      <w:szCs w:val="40"/>
      <w:lang w:eastAsia="zh-CN"/>
    </w:rPr>
  </w:style>
  <w:style w:type="character" w:customStyle="1" w:styleId="ParteNumeroChar">
    <w:name w:val="Parte Numero Char"/>
    <w:qFormat/>
    <w:rPr>
      <w:rFonts w:ascii="Gotham Medium" w:eastAsia="Times New Roman (Corpo CS)" w:hAnsi="Gotham Medium"/>
      <w:caps/>
      <w:color w:val="FFFFFF"/>
      <w:sz w:val="28"/>
      <w:szCs w:val="28"/>
    </w:rPr>
  </w:style>
  <w:style w:type="character" w:customStyle="1" w:styleId="ParagrafobaseChar">
    <w:name w:val="[Paragrafo base] Char"/>
    <w:qFormat/>
    <w:rPr>
      <w:rFonts w:ascii="Minion Pro" w:eastAsia="Minion Pro" w:hAnsi="Minion Pro"/>
      <w:color w:val="000000"/>
    </w:rPr>
  </w:style>
  <w:style w:type="character" w:customStyle="1" w:styleId="NessunaspaziaturaCarattere">
    <w:name w:val="Nessuna spaziatura Carattere"/>
    <w:qFormat/>
    <w:rPr>
      <w:rFonts w:eastAsia="0"/>
      <w:szCs w:val="22"/>
      <w:lang w:eastAsia="en-US"/>
    </w:rPr>
  </w:style>
  <w:style w:type="character" w:customStyle="1" w:styleId="Caratteridinumerazione">
    <w:name w:val="Caratteri di numerazione"/>
    <w:qFormat/>
  </w:style>
  <w:style w:type="character" w:customStyle="1" w:styleId="Menzionenonrisolta1">
    <w:name w:val="Menzione non risolta1"/>
    <w:basedOn w:val="Carpredefinitoparagrafo"/>
    <w:qFormat/>
    <w:rPr>
      <w:color w:val="605E5C"/>
      <w:highlight w:val="lightGray"/>
    </w:rPr>
  </w:style>
  <w:style w:type="character" w:customStyle="1" w:styleId="Punti">
    <w:name w:val="Punti"/>
    <w:qFormat/>
    <w:rPr>
      <w:rFonts w:ascii="OpenSymbol" w:eastAsia="OpenSymbol" w:hAnsi="OpenSymbol" w:cs="OpenSymbol"/>
    </w:rPr>
  </w:style>
  <w:style w:type="character" w:customStyle="1" w:styleId="Caratterinotaapidipagina">
    <w:name w:val="Caratteri nota a piè di pagina"/>
    <w:qFormat/>
  </w:style>
  <w:style w:type="character" w:customStyle="1" w:styleId="Caratterinotadichiusura">
    <w:name w:val="Caratteri nota di chiusura"/>
    <w:qFormat/>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HTMLMarkup">
    <w:name w:val="HTML Markup"/>
    <w:qFormat/>
    <w:rPr>
      <w:vanish/>
      <w:color w:val="FF0000"/>
    </w:rPr>
  </w:style>
  <w:style w:type="character" w:customStyle="1" w:styleId="Comment">
    <w:name w:val="Comment"/>
    <w:qFormat/>
    <w:rPr>
      <w:vanish/>
    </w:rPr>
  </w:style>
  <w:style w:type="paragraph" w:styleId="Titolo">
    <w:name w:val="Title"/>
    <w:basedOn w:val="Normale"/>
    <w:next w:val="Corpotesto"/>
    <w:uiPriority w:val="10"/>
    <w:qFormat/>
    <w:pPr>
      <w:spacing w:before="240" w:after="60"/>
      <w:jc w:val="center"/>
      <w:outlineLvl w:val="0"/>
    </w:pPr>
    <w:rPr>
      <w:rFonts w:ascii="Cambria" w:hAnsi="Cambria"/>
      <w:b/>
      <w:bCs/>
      <w:kern w:val="2"/>
      <w:sz w:val="32"/>
      <w:szCs w:val="32"/>
      <w:lang w:val="x-none"/>
    </w:rPr>
  </w:style>
  <w:style w:type="paragraph" w:styleId="Corpotesto">
    <w:name w:val="Body Text"/>
    <w:basedOn w:val="Normale"/>
    <w:uiPriority w:val="1"/>
    <w:qFormat/>
    <w:pPr>
      <w:widowControl w:val="0"/>
      <w:spacing w:line="259" w:lineRule="exact"/>
    </w:pPr>
    <w:rPr>
      <w:rFonts w:ascii="Times New Roman" w:hAnsi="Times New Roman"/>
      <w:sz w:val="26"/>
      <w:szCs w:val="20"/>
      <w:lang w:val="x-none" w:eastAsia="x-none"/>
    </w:rPr>
  </w:style>
  <w:style w:type="paragraph" w:styleId="Elenco">
    <w:name w:val="List"/>
    <w:basedOn w:val="Corpotesto"/>
    <w:rPr>
      <w:rFonts w:cs="Lucida Sans"/>
    </w:rPr>
  </w:style>
  <w:style w:type="paragraph" w:styleId="Didascalia">
    <w:name w:val="caption"/>
    <w:basedOn w:val="Normale"/>
    <w:next w:val="Normale"/>
    <w:qFormat/>
    <w:pPr>
      <w:spacing w:before="120"/>
    </w:pPr>
    <w:rPr>
      <w:iCs/>
      <w:szCs w:val="18"/>
    </w:rPr>
  </w:style>
  <w:style w:type="paragraph" w:customStyle="1" w:styleId="Indice">
    <w:name w:val="Indice"/>
    <w:basedOn w:val="Normale"/>
    <w:qFormat/>
    <w:pPr>
      <w:suppressLineNumbers/>
    </w:pPr>
    <w:rPr>
      <w:rFonts w:cs="Lucida Sans"/>
    </w:rPr>
  </w:style>
  <w:style w:type="paragraph" w:customStyle="1" w:styleId="Default">
    <w:name w:val="Default"/>
    <w:qFormat/>
    <w:pPr>
      <w:widowControl w:val="0"/>
      <w:spacing w:line="276" w:lineRule="auto"/>
      <w:jc w:val="both"/>
    </w:pPr>
    <w:rPr>
      <w:rFonts w:ascii="Book-Antiqua,Bold" w:hAnsi="Book-Antiqua,Bold" w:cs="Book-Antiqua,Bold"/>
      <w:color w:val="000000"/>
      <w:sz w:val="24"/>
      <w:szCs w:val="24"/>
    </w:rPr>
  </w:style>
  <w:style w:type="paragraph" w:styleId="Testofumetto">
    <w:name w:val="Balloon Text"/>
    <w:basedOn w:val="Normale"/>
    <w:qFormat/>
    <w:pPr>
      <w:spacing w:line="240" w:lineRule="auto"/>
    </w:pPr>
    <w:rPr>
      <w:rFonts w:ascii="Tahoma" w:eastAsia="Calibri" w:hAnsi="Tahoma"/>
      <w:sz w:val="16"/>
      <w:szCs w:val="16"/>
      <w:lang w:val="x-none" w:eastAsia="x-none"/>
    </w:rPr>
  </w:style>
  <w:style w:type="paragraph" w:customStyle="1" w:styleId="Paragrafoelenco1">
    <w:name w:val="Paragrafo elenco1"/>
    <w:basedOn w:val="Normale"/>
    <w:qFormat/>
    <w:pPr>
      <w:spacing w:before="280" w:after="280" w:line="240" w:lineRule="atLeast"/>
      <w:ind w:left="720"/>
      <w:contextualSpacing/>
    </w:pPr>
    <w:rPr>
      <w:rFonts w:eastAsia="Calibri"/>
      <w:lang w:eastAsia="it-IT"/>
    </w:rPr>
  </w:style>
  <w:style w:type="paragraph" w:customStyle="1" w:styleId="Intestazioneepidipagina">
    <w:name w:val="Intestazione e piè di pagina"/>
    <w:basedOn w:val="Normale"/>
    <w:qFormat/>
  </w:style>
  <w:style w:type="paragraph" w:styleId="Intestazione">
    <w:name w:val="header"/>
    <w:basedOn w:val="Normale"/>
    <w:uiPriority w:val="99"/>
    <w:pPr>
      <w:tabs>
        <w:tab w:val="center" w:pos="4819"/>
        <w:tab w:val="right" w:pos="9638"/>
      </w:tabs>
      <w:spacing w:before="280" w:after="280" w:line="240" w:lineRule="auto"/>
    </w:pPr>
    <w:rPr>
      <w:sz w:val="20"/>
      <w:szCs w:val="20"/>
      <w:lang w:val="x-none" w:eastAsia="it-IT"/>
    </w:rPr>
  </w:style>
  <w:style w:type="paragraph" w:styleId="Pidipagina">
    <w:name w:val="footer"/>
    <w:basedOn w:val="Normale"/>
    <w:uiPriority w:val="99"/>
    <w:pPr>
      <w:tabs>
        <w:tab w:val="center" w:pos="4819"/>
        <w:tab w:val="right" w:pos="9638"/>
      </w:tabs>
      <w:spacing w:before="280" w:after="280" w:line="240" w:lineRule="auto"/>
    </w:pPr>
    <w:rPr>
      <w:sz w:val="20"/>
      <w:szCs w:val="20"/>
      <w:lang w:val="x-none" w:eastAsia="it-IT"/>
    </w:rPr>
  </w:style>
  <w:style w:type="paragraph" w:styleId="Testonotaapidipagina">
    <w:name w:val="footnote text"/>
    <w:basedOn w:val="Normale"/>
    <w:pPr>
      <w:spacing w:before="280" w:after="280" w:line="240" w:lineRule="auto"/>
    </w:pPr>
    <w:rPr>
      <w:sz w:val="20"/>
      <w:szCs w:val="20"/>
      <w:lang w:val="x-none" w:eastAsia="it-IT"/>
    </w:rPr>
  </w:style>
  <w:style w:type="paragraph" w:customStyle="1" w:styleId="provvr0">
    <w:name w:val="provv_r0"/>
    <w:basedOn w:val="Normale"/>
    <w:qFormat/>
    <w:pPr>
      <w:spacing w:before="280" w:after="280" w:line="240" w:lineRule="auto"/>
    </w:pPr>
    <w:rPr>
      <w:rFonts w:ascii="Times New Roman" w:eastAsia="Calibri" w:hAnsi="Times New Roman"/>
      <w:szCs w:val="24"/>
      <w:lang w:eastAsia="it-IT"/>
    </w:rPr>
  </w:style>
  <w:style w:type="paragraph" w:customStyle="1" w:styleId="popolo">
    <w:name w:val="popolo"/>
    <w:basedOn w:val="Normale"/>
    <w:qFormat/>
    <w:pPr>
      <w:spacing w:before="280" w:after="280" w:line="240" w:lineRule="auto"/>
    </w:pPr>
    <w:rPr>
      <w:rFonts w:eastAsia="Calibri"/>
      <w:sz w:val="30"/>
      <w:szCs w:val="30"/>
      <w:lang w:eastAsia="it-IT"/>
    </w:rPr>
  </w:style>
  <w:style w:type="paragraph" w:customStyle="1" w:styleId="Stile1">
    <w:name w:val="Stile1"/>
    <w:basedOn w:val="Titolo1"/>
    <w:qFormat/>
    <w:pPr>
      <w:spacing w:line="240" w:lineRule="atLeast"/>
    </w:pPr>
    <w:rPr>
      <w:rFonts w:ascii="Times New Roman" w:hAnsi="Times New Roman"/>
      <w:lang w:eastAsia="it-IT"/>
    </w:rPr>
  </w:style>
  <w:style w:type="paragraph" w:styleId="Sommario1">
    <w:name w:val="toc 1"/>
    <w:basedOn w:val="Normale"/>
    <w:next w:val="Normale"/>
    <w:autoRedefine/>
    <w:uiPriority w:val="39"/>
    <w:rsid w:val="00BC51C4"/>
    <w:pPr>
      <w:tabs>
        <w:tab w:val="left" w:leader="dot" w:pos="284"/>
        <w:tab w:val="right" w:leader="dot" w:pos="9629"/>
      </w:tabs>
      <w:jc w:val="left"/>
    </w:pPr>
    <w:rPr>
      <w:bCs/>
      <w:sz w:val="20"/>
      <w:szCs w:val="20"/>
    </w:rPr>
  </w:style>
  <w:style w:type="paragraph" w:styleId="Sommario2">
    <w:name w:val="toc 2"/>
    <w:basedOn w:val="Normale"/>
    <w:next w:val="Sommario3"/>
    <w:autoRedefine/>
    <w:uiPriority w:val="39"/>
    <w:pPr>
      <w:tabs>
        <w:tab w:val="left" w:pos="440"/>
        <w:tab w:val="right" w:leader="dot" w:pos="9629"/>
      </w:tabs>
      <w:spacing w:line="336" w:lineRule="auto"/>
      <w:ind w:left="442" w:hanging="442"/>
    </w:pPr>
    <w:rPr>
      <w:smallCaps/>
      <w:sz w:val="20"/>
      <w:szCs w:val="20"/>
    </w:rPr>
  </w:style>
  <w:style w:type="paragraph" w:customStyle="1" w:styleId="Nessunaspaziatura1">
    <w:name w:val="Nessuna spaziatura1"/>
    <w:qFormat/>
    <w:pPr>
      <w:spacing w:line="276" w:lineRule="auto"/>
      <w:jc w:val="both"/>
    </w:pPr>
    <w:rPr>
      <w:sz w:val="22"/>
      <w:szCs w:val="22"/>
      <w:lang w:eastAsia="en-US"/>
    </w:rPr>
  </w:style>
  <w:style w:type="paragraph" w:styleId="NormaleWeb">
    <w:name w:val="Normal (Web)"/>
    <w:basedOn w:val="Normale"/>
    <w:qFormat/>
    <w:pPr>
      <w:spacing w:before="280" w:after="280"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qFormat/>
  </w:style>
  <w:style w:type="paragraph" w:styleId="Testonotadichiusura">
    <w:name w:val="endnote text"/>
    <w:basedOn w:val="Normale"/>
    <w:rPr>
      <w:sz w:val="20"/>
      <w:szCs w:val="20"/>
      <w:lang w:val="x-none"/>
    </w:rPr>
  </w:style>
  <w:style w:type="paragraph" w:customStyle="1" w:styleId="provvr1">
    <w:name w:val="provv_r1"/>
    <w:basedOn w:val="Normale"/>
    <w:qFormat/>
    <w:pPr>
      <w:spacing w:before="280" w:after="280" w:line="240" w:lineRule="auto"/>
      <w:ind w:firstLine="400"/>
    </w:pPr>
    <w:rPr>
      <w:rFonts w:ascii="Times New Roman" w:hAnsi="Times New Roman"/>
      <w:szCs w:val="24"/>
      <w:lang w:eastAsia="it-IT"/>
    </w:rPr>
  </w:style>
  <w:style w:type="paragraph" w:styleId="Testocommento">
    <w:name w:val="annotation text"/>
    <w:basedOn w:val="Normale"/>
    <w:uiPriority w:val="99"/>
    <w:qFormat/>
    <w:rPr>
      <w:sz w:val="20"/>
      <w:szCs w:val="20"/>
      <w:lang w:val="x-none"/>
    </w:rPr>
  </w:style>
  <w:style w:type="paragraph" w:styleId="Soggettocommento">
    <w:name w:val="annotation subject"/>
    <w:basedOn w:val="Testocommento"/>
    <w:next w:val="Testocommento"/>
    <w:uiPriority w:val="99"/>
    <w:qFormat/>
    <w:rPr>
      <w:b/>
      <w:bCs/>
    </w:rPr>
  </w:style>
  <w:style w:type="paragraph" w:customStyle="1" w:styleId="stile10">
    <w:name w:val="stile1"/>
    <w:basedOn w:val="Normale"/>
    <w:qFormat/>
    <w:pPr>
      <w:spacing w:before="280" w:after="280" w:line="240" w:lineRule="auto"/>
    </w:pPr>
    <w:rPr>
      <w:rFonts w:ascii="Times New Roman" w:hAnsi="Times New Roman"/>
      <w:szCs w:val="24"/>
      <w:lang w:eastAsia="it-IT"/>
    </w:rPr>
  </w:style>
  <w:style w:type="paragraph" w:customStyle="1" w:styleId="bollo">
    <w:name w:val="bollo"/>
    <w:basedOn w:val="Normale"/>
    <w:qFormat/>
    <w:pPr>
      <w:spacing w:line="567" w:lineRule="atLeast"/>
    </w:pPr>
    <w:rPr>
      <w:rFonts w:ascii="Times New Roman" w:hAnsi="Times New Roman"/>
      <w:szCs w:val="20"/>
      <w:lang w:eastAsia="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pPr>
      <w:ind w:left="720"/>
    </w:pPr>
    <w:rPr>
      <w:rFonts w:eastAsia="Calibri"/>
      <w:lang w:eastAsia="it-IT"/>
    </w:rPr>
  </w:style>
  <w:style w:type="paragraph" w:customStyle="1" w:styleId="provvnota">
    <w:name w:val="provv_nota"/>
    <w:basedOn w:val="Normale"/>
    <w:qFormat/>
    <w:pPr>
      <w:spacing w:before="280" w:after="280" w:line="240" w:lineRule="auto"/>
    </w:pPr>
    <w:rPr>
      <w:rFonts w:ascii="Times New Roman" w:hAnsi="Times New Roman"/>
      <w:szCs w:val="24"/>
      <w:lang w:eastAsia="it-IT"/>
    </w:rPr>
  </w:style>
  <w:style w:type="paragraph" w:customStyle="1" w:styleId="provvestremo">
    <w:name w:val="provv_estremo"/>
    <w:basedOn w:val="Normale"/>
    <w:qFormat/>
    <w:pPr>
      <w:spacing w:before="280" w:after="280" w:line="240" w:lineRule="auto"/>
    </w:pPr>
    <w:rPr>
      <w:rFonts w:ascii="Times New Roman" w:hAnsi="Times New Roman"/>
      <w:b/>
      <w:bCs/>
      <w:szCs w:val="24"/>
      <w:lang w:eastAsia="it-IT"/>
    </w:rPr>
  </w:style>
  <w:style w:type="paragraph" w:customStyle="1" w:styleId="Paragrafoelenco11">
    <w:name w:val="Paragrafo elenco11"/>
    <w:basedOn w:val="Normale"/>
    <w:qFormat/>
    <w:pPr>
      <w:spacing w:before="280" w:after="280" w:line="240" w:lineRule="atLeast"/>
      <w:ind w:left="720"/>
      <w:contextualSpacing/>
    </w:pPr>
    <w:rPr>
      <w:rFonts w:eastAsia="Calibri"/>
      <w:lang w:eastAsia="it-IT"/>
    </w:rPr>
  </w:style>
  <w:style w:type="paragraph" w:styleId="Revisione">
    <w:name w:val="Revision"/>
    <w:uiPriority w:val="99"/>
    <w:qFormat/>
    <w:pPr>
      <w:spacing w:line="276" w:lineRule="auto"/>
      <w:jc w:val="both"/>
    </w:pPr>
    <w:rPr>
      <w:rFonts w:eastAsia="Times New Roman"/>
      <w:sz w:val="22"/>
      <w:szCs w:val="22"/>
      <w:lang w:eastAsia="en-US"/>
    </w:rPr>
  </w:style>
  <w:style w:type="paragraph" w:styleId="Rientrocorpodeltesto3">
    <w:name w:val="Body Text Indent 3"/>
    <w:basedOn w:val="Normale"/>
    <w:qFormat/>
    <w:pPr>
      <w:spacing w:after="120"/>
      <w:ind w:left="283"/>
    </w:pPr>
    <w:rPr>
      <w:sz w:val="16"/>
      <w:szCs w:val="16"/>
      <w:lang w:val="x-none"/>
    </w:rPr>
  </w:style>
  <w:style w:type="paragraph" w:customStyle="1" w:styleId="Rub1">
    <w:name w:val="Rub1"/>
    <w:basedOn w:val="Normale"/>
    <w:qFormat/>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qFormat/>
    <w:pPr>
      <w:spacing w:after="120" w:line="480" w:lineRule="auto"/>
    </w:pPr>
    <w:rPr>
      <w:lang w:val="x-none"/>
    </w:rPr>
  </w:style>
  <w:style w:type="paragraph" w:customStyle="1" w:styleId="Rientrocorpodeltesto21">
    <w:name w:val="Rientro corpo del testo 21"/>
    <w:basedOn w:val="Normale"/>
    <w:qFormat/>
    <w:pPr>
      <w:spacing w:line="240" w:lineRule="auto"/>
      <w:ind w:left="360"/>
    </w:pPr>
    <w:rPr>
      <w:rFonts w:ascii="Times New Roman" w:hAnsi="Times New Roman"/>
      <w:szCs w:val="20"/>
      <w:lang w:eastAsia="it-IT"/>
    </w:rPr>
  </w:style>
  <w:style w:type="paragraph" w:customStyle="1" w:styleId="noteapi">
    <w:name w:val="note a piè"/>
    <w:basedOn w:val="Testonotaapidipagina"/>
    <w:qFormat/>
    <w:rPr>
      <w:rFonts w:ascii="Times New Roman" w:hAnsi="Times New Roman"/>
    </w:rPr>
  </w:style>
  <w:style w:type="paragraph" w:styleId="Mappadocumento">
    <w:name w:val="Document Map"/>
    <w:basedOn w:val="Normale"/>
    <w:qFormat/>
    <w:rPr>
      <w:rFonts w:ascii="Tahoma" w:hAnsi="Tahoma"/>
      <w:sz w:val="16"/>
      <w:szCs w:val="16"/>
      <w:lang w:val="x-none"/>
    </w:rPr>
  </w:style>
  <w:style w:type="paragraph" w:customStyle="1" w:styleId="grassetto1">
    <w:name w:val="grassetto1"/>
    <w:basedOn w:val="Normale"/>
    <w:qFormat/>
    <w:pPr>
      <w:spacing w:after="24" w:line="240" w:lineRule="auto"/>
      <w:jc w:val="left"/>
    </w:pPr>
    <w:rPr>
      <w:rFonts w:ascii="Times New Roman" w:hAnsi="Times New Roman"/>
      <w:b/>
      <w:bCs/>
      <w:szCs w:val="24"/>
      <w:lang w:eastAsia="it-IT"/>
    </w:rPr>
  </w:style>
  <w:style w:type="paragraph" w:styleId="Sottotitolo">
    <w:name w:val="Subtitle"/>
    <w:basedOn w:val="Normale"/>
    <w:next w:val="Normale"/>
    <w:uiPriority w:val="11"/>
    <w:qFormat/>
    <w:pPr>
      <w:spacing w:after="60"/>
      <w:jc w:val="center"/>
      <w:outlineLvl w:val="1"/>
    </w:pPr>
    <w:rPr>
      <w:rFonts w:ascii="Cambria" w:hAnsi="Cambria"/>
      <w:szCs w:val="24"/>
      <w:lang w:val="x-none"/>
    </w:rPr>
  </w:style>
  <w:style w:type="paragraph" w:styleId="Titolosommario">
    <w:name w:val="TOC Heading"/>
    <w:basedOn w:val="Titolo1"/>
    <w:next w:val="Normale"/>
    <w:qFormat/>
    <w:pPr>
      <w:jc w:val="left"/>
    </w:pPr>
    <w:rPr>
      <w:rFonts w:eastAsia="Times New Roman"/>
      <w:lang w:val="it-IT" w:eastAsia="it-IT"/>
    </w:rPr>
  </w:style>
  <w:style w:type="paragraph" w:customStyle="1" w:styleId="provvc">
    <w:name w:val="provv_c"/>
    <w:basedOn w:val="Normale"/>
    <w:qFormat/>
    <w:pPr>
      <w:spacing w:before="280" w:after="280" w:line="240" w:lineRule="auto"/>
      <w:jc w:val="center"/>
    </w:pPr>
    <w:rPr>
      <w:rFonts w:ascii="Times New Roman" w:hAnsi="Times New Roman"/>
      <w:szCs w:val="24"/>
      <w:lang w:eastAsia="it-IT"/>
    </w:rPr>
  </w:style>
  <w:style w:type="paragraph" w:styleId="Sommario3">
    <w:name w:val="toc 3"/>
    <w:basedOn w:val="Normale"/>
    <w:next w:val="Normale"/>
    <w:autoRedefine/>
    <w:uiPriority w:val="39"/>
    <w:rsid w:val="00BC51C4"/>
    <w:pPr>
      <w:tabs>
        <w:tab w:val="left" w:pos="1100"/>
        <w:tab w:val="right" w:leader="dot" w:pos="9629"/>
      </w:tabs>
      <w:spacing w:line="240" w:lineRule="auto"/>
      <w:ind w:left="896" w:hanging="454"/>
      <w:jc w:val="left"/>
    </w:pPr>
    <w:rPr>
      <w:iCs/>
      <w:sz w:val="20"/>
      <w:szCs w:val="20"/>
    </w:rPr>
  </w:style>
  <w:style w:type="paragraph" w:customStyle="1" w:styleId="Rientrocorpodeltesto211">
    <w:name w:val="Rientro corpo del testo 211"/>
    <w:basedOn w:val="Normale"/>
    <w:qFormat/>
    <w:pPr>
      <w:spacing w:line="240" w:lineRule="auto"/>
      <w:ind w:left="360"/>
    </w:pPr>
    <w:rPr>
      <w:rFonts w:ascii="Times New Roman" w:hAnsi="Times New Roman"/>
      <w:szCs w:val="20"/>
      <w:lang w:eastAsia="it-IT"/>
    </w:rPr>
  </w:style>
  <w:style w:type="paragraph" w:styleId="Rientrocorpodeltesto2">
    <w:name w:val="Body Text Indent 2"/>
    <w:basedOn w:val="Normale"/>
    <w:qFormat/>
    <w:pPr>
      <w:tabs>
        <w:tab w:val="left" w:pos="1068"/>
      </w:tabs>
      <w:spacing w:line="240" w:lineRule="auto"/>
      <w:ind w:left="720"/>
    </w:pPr>
    <w:rPr>
      <w:rFonts w:ascii="Times New Roman" w:hAnsi="Times New Roman"/>
      <w:szCs w:val="24"/>
      <w:lang w:eastAsia="it-IT"/>
    </w:rPr>
  </w:style>
  <w:style w:type="paragraph" w:customStyle="1" w:styleId="sche3">
    <w:name w:val="sche_3"/>
    <w:qFormat/>
    <w:pPr>
      <w:widowControl w:val="0"/>
      <w:jc w:val="both"/>
      <w:textAlignment w:val="baseline"/>
    </w:pPr>
    <w:rPr>
      <w:rFonts w:ascii="Times New Roman" w:eastAsia="Times New Roman" w:hAnsi="Times New Roman"/>
      <w:sz w:val="24"/>
      <w:lang w:val="en-US"/>
    </w:rPr>
  </w:style>
  <w:style w:type="paragraph" w:customStyle="1" w:styleId="Text2">
    <w:name w:val="Text 2"/>
    <w:basedOn w:val="Normale"/>
    <w:qFormat/>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paragraph" w:styleId="Corpodeltesto3">
    <w:name w:val="Body Text 3"/>
    <w:basedOn w:val="Normale"/>
    <w:qFormat/>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paragraph" w:customStyle="1" w:styleId="Rub3">
    <w:name w:val="Rub3"/>
    <w:basedOn w:val="Normale"/>
    <w:next w:val="Normale"/>
    <w:qFormat/>
    <w:pPr>
      <w:tabs>
        <w:tab w:val="left" w:pos="709"/>
      </w:tabs>
      <w:spacing w:line="240" w:lineRule="auto"/>
    </w:pPr>
    <w:rPr>
      <w:rFonts w:ascii="Times New Roman" w:hAnsi="Times New Roman"/>
      <w:b/>
      <w:i/>
      <w:sz w:val="20"/>
      <w:szCs w:val="20"/>
      <w:lang w:eastAsia="it-IT"/>
    </w:rPr>
  </w:style>
  <w:style w:type="paragraph" w:customStyle="1" w:styleId="Titoloparagrafobandotipo">
    <w:name w:val="Titolo paragrafo bando tipo"/>
    <w:basedOn w:val="Sottotitolo"/>
    <w:autoRedefine/>
    <w:qFormat/>
    <w:pPr>
      <w:keepNext/>
      <w:spacing w:before="300" w:after="120" w:line="240" w:lineRule="auto"/>
      <w:ind w:left="-142"/>
      <w:jc w:val="left"/>
      <w:outlineLvl w:val="0"/>
    </w:pPr>
    <w:rPr>
      <w:rFonts w:ascii="Calibri" w:hAnsi="Calibri"/>
      <w:b/>
      <w:i/>
      <w:szCs w:val="22"/>
      <w:lang w:val="it-IT" w:eastAsia="it-IT"/>
    </w:rPr>
  </w:style>
  <w:style w:type="paragraph" w:customStyle="1" w:styleId="avviso">
    <w:name w:val="avviso"/>
    <w:basedOn w:val="Paragrafoelenco"/>
    <w:qFormat/>
    <w:pPr>
      <w:keepNext/>
      <w:spacing w:before="120" w:after="120" w:line="240" w:lineRule="auto"/>
      <w:ind w:left="0"/>
    </w:pPr>
    <w:rPr>
      <w:rFonts w:eastAsia="Times New Roman"/>
      <w:b/>
      <w:i/>
      <w:szCs w:val="24"/>
      <w:lang w:eastAsia="en-US"/>
    </w:rPr>
  </w:style>
  <w:style w:type="paragraph" w:customStyle="1" w:styleId="CM11">
    <w:name w:val="CM1+1"/>
    <w:basedOn w:val="Default"/>
    <w:next w:val="Default"/>
    <w:qFormat/>
    <w:pPr>
      <w:widowControl/>
      <w:spacing w:line="240" w:lineRule="auto"/>
      <w:jc w:val="left"/>
    </w:pPr>
    <w:rPr>
      <w:rFonts w:ascii="EUAlbertina" w:hAnsi="EUAlbertina" w:cs="Times New Roman"/>
      <w:color w:val="auto"/>
    </w:rPr>
  </w:style>
  <w:style w:type="paragraph" w:customStyle="1" w:styleId="CM31">
    <w:name w:val="CM3+1"/>
    <w:basedOn w:val="Default"/>
    <w:next w:val="Default"/>
    <w:qFormat/>
    <w:pPr>
      <w:widowControl/>
      <w:spacing w:line="240" w:lineRule="auto"/>
      <w:jc w:val="left"/>
    </w:pPr>
    <w:rPr>
      <w:rFonts w:ascii="EUAlbertina" w:hAnsi="EUAlbertina" w:cs="Times New Roman"/>
      <w:color w:val="auto"/>
    </w:rPr>
  </w:style>
  <w:style w:type="paragraph" w:styleId="Nessunaspaziatura">
    <w:name w:val="No Spacing"/>
    <w:qFormat/>
    <w:pPr>
      <w:jc w:val="both"/>
    </w:pPr>
    <w:rPr>
      <w:rFonts w:eastAsia="Times New Roman"/>
      <w:sz w:val="22"/>
      <w:szCs w:val="22"/>
      <w:lang w:eastAsia="en-US"/>
    </w:rPr>
  </w:style>
  <w:style w:type="paragraph" w:customStyle="1" w:styleId="Sommariodisciplinare">
    <w:name w:val="Sommario disciplinare"/>
    <w:basedOn w:val="Sommario1"/>
    <w:next w:val="Titolo2"/>
    <w:autoRedefine/>
    <w:qFormat/>
    <w:rPr>
      <w:rFonts w:cs="Calibri"/>
      <w:szCs w:val="24"/>
      <w:lang w:eastAsia="it-IT"/>
    </w:rPr>
  </w:style>
  <w:style w:type="paragraph" w:styleId="Sommario4">
    <w:name w:val="toc 4"/>
    <w:basedOn w:val="Normale"/>
    <w:next w:val="Normale"/>
    <w:autoRedefine/>
    <w:pPr>
      <w:ind w:left="660"/>
      <w:jc w:val="left"/>
    </w:pPr>
    <w:rPr>
      <w:rFonts w:ascii="Calibri" w:hAnsi="Calibri"/>
      <w:sz w:val="18"/>
      <w:szCs w:val="18"/>
    </w:rPr>
  </w:style>
  <w:style w:type="paragraph" w:styleId="Sommario5">
    <w:name w:val="toc 5"/>
    <w:basedOn w:val="Normale"/>
    <w:next w:val="Normale"/>
    <w:autoRedefine/>
    <w:pPr>
      <w:ind w:left="880"/>
      <w:jc w:val="left"/>
    </w:pPr>
    <w:rPr>
      <w:rFonts w:ascii="Calibri" w:hAnsi="Calibri"/>
      <w:sz w:val="18"/>
      <w:szCs w:val="18"/>
    </w:rPr>
  </w:style>
  <w:style w:type="paragraph" w:styleId="Sommario6">
    <w:name w:val="toc 6"/>
    <w:basedOn w:val="Normale"/>
    <w:next w:val="Normale"/>
    <w:autoRedefine/>
    <w:pPr>
      <w:ind w:left="1100"/>
      <w:jc w:val="left"/>
    </w:pPr>
    <w:rPr>
      <w:rFonts w:ascii="Calibri" w:hAnsi="Calibri"/>
      <w:sz w:val="18"/>
      <w:szCs w:val="18"/>
    </w:rPr>
  </w:style>
  <w:style w:type="paragraph" w:styleId="Sommario7">
    <w:name w:val="toc 7"/>
    <w:basedOn w:val="Normale"/>
    <w:next w:val="Normale"/>
    <w:autoRedefine/>
    <w:pPr>
      <w:ind w:left="1320"/>
      <w:jc w:val="left"/>
    </w:pPr>
    <w:rPr>
      <w:rFonts w:ascii="Calibri" w:hAnsi="Calibri"/>
      <w:sz w:val="18"/>
      <w:szCs w:val="18"/>
    </w:rPr>
  </w:style>
  <w:style w:type="paragraph" w:styleId="Sommario8">
    <w:name w:val="toc 8"/>
    <w:basedOn w:val="Normale"/>
    <w:next w:val="Normale"/>
    <w:autoRedefine/>
    <w:pPr>
      <w:ind w:left="1540"/>
      <w:jc w:val="left"/>
    </w:pPr>
    <w:rPr>
      <w:rFonts w:ascii="Calibri" w:hAnsi="Calibri"/>
      <w:sz w:val="18"/>
      <w:szCs w:val="18"/>
    </w:rPr>
  </w:style>
  <w:style w:type="paragraph" w:styleId="Sommario9">
    <w:name w:val="toc 9"/>
    <w:basedOn w:val="Normale"/>
    <w:next w:val="Normale"/>
    <w:autoRedefine/>
    <w:pPr>
      <w:ind w:left="1760"/>
      <w:jc w:val="left"/>
    </w:pPr>
    <w:rPr>
      <w:rFonts w:ascii="Calibri" w:hAnsi="Calibri"/>
      <w:sz w:val="18"/>
      <w:szCs w:val="18"/>
    </w:rPr>
  </w:style>
  <w:style w:type="paragraph" w:styleId="Testonormale">
    <w:name w:val="Plain Text"/>
    <w:basedOn w:val="Normale"/>
    <w:qFormat/>
    <w:pPr>
      <w:jc w:val="left"/>
    </w:pPr>
    <w:rPr>
      <w:rFonts w:cs="Consolas"/>
      <w:szCs w:val="21"/>
    </w:rPr>
  </w:style>
  <w:style w:type="paragraph" w:customStyle="1" w:styleId="usoboll1">
    <w:name w:val="usoboll1"/>
    <w:basedOn w:val="Normale"/>
    <w:qFormat/>
    <w:pPr>
      <w:widowControl w:val="0"/>
      <w:suppressAutoHyphens/>
      <w:spacing w:line="482" w:lineRule="atLeast"/>
    </w:pPr>
    <w:rPr>
      <w:rFonts w:ascii="Times New Roman" w:hAnsi="Times New Roman"/>
      <w:szCs w:val="20"/>
      <w:lang w:eastAsia="ar-SA"/>
    </w:rPr>
  </w:style>
  <w:style w:type="paragraph" w:customStyle="1" w:styleId="ANCATABELLATITOLOBIANCO">
    <w:name w:val="ANCA_TABELLA_TITOLO 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TABELLATESTOBIANCO">
    <w:name w:val="ANAC_TABELLA_TESTO_BIANCO"/>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ind w:left="1560" w:right="142"/>
    </w:pPr>
    <w:rPr>
      <w:rFonts w:ascii="Gotham Book" w:hAnsi="Gotham Book" w:cs="Gotham Book"/>
      <w:color w:val="FFFFFF"/>
      <w:sz w:val="20"/>
      <w:szCs w:val="20"/>
    </w:rPr>
  </w:style>
  <w:style w:type="paragraph" w:customStyle="1" w:styleId="ANACDATA">
    <w:name w:val="ANAC_DATA"/>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24"/>
      <w:lang w:eastAsia="ar-SA"/>
    </w:rPr>
  </w:style>
  <w:style w:type="paragraph" w:customStyle="1" w:styleId="ANAC-TitoloSottoparagrafo">
    <w:name w:val="ANAC - Titolo Sotto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284"/>
    </w:pPr>
    <w:rPr>
      <w:rFonts w:ascii="Calibri Light" w:eastAsia="0" w:hAnsi="Calibri Light"/>
      <w:color w:val="2F5496"/>
      <w:sz w:val="24"/>
      <w:szCs w:val="22"/>
      <w:lang w:eastAsia="ar-SA"/>
    </w:rPr>
  </w:style>
  <w:style w:type="paragraph" w:customStyle="1" w:styleId="ANAC-TitoloParagrafo">
    <w:name w:val="ANAC - Titolo Paragraf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color w:val="2770B7"/>
      <w:sz w:val="28"/>
      <w:lang w:eastAsia="ar-SA"/>
    </w:rPr>
  </w:style>
  <w:style w:type="paragraph" w:customStyle="1" w:styleId="ANAC-TitoloCapitolo">
    <w:name w:val="ANAC - Titolo Capitolo"/>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Cs/>
      <w:sz w:val="36"/>
      <w:szCs w:val="40"/>
      <w:lang w:eastAsia="ar-SA"/>
    </w:rPr>
  </w:style>
  <w:style w:type="paragraph" w:customStyle="1" w:styleId="ANAC-Capitolo">
    <w:name w:val="ANAC - Capitol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pPr>
    <w:rPr>
      <w:rFonts w:ascii="Calibri Light" w:eastAsia="0" w:hAnsi="Calibri Light"/>
      <w:color w:val="2F5496"/>
      <w:sz w:val="32"/>
      <w:szCs w:val="32"/>
      <w:lang w:eastAsia="ar-SA"/>
    </w:rPr>
  </w:style>
  <w:style w:type="paragraph" w:customStyle="1" w:styleId="TitoloParagrafo">
    <w:name w:val="Titolo Paragrafo"/>
    <w:basedOn w:val="Titolo5"/>
    <w:qFormat/>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Calibri Light" w:eastAsia="0" w:hAnsi="Calibri Light"/>
      <w:color w:val="2F5496"/>
      <w:sz w:val="28"/>
      <w:lang w:eastAsia="ar-SA"/>
    </w:rPr>
  </w:style>
  <w:style w:type="paragraph" w:customStyle="1" w:styleId="TitoloCapitolo">
    <w:name w:val="Titolo Capitolo"/>
    <w:basedOn w:val="Titolo4"/>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exact"/>
      <w:ind w:left="1560" w:right="142"/>
    </w:pPr>
    <w:rPr>
      <w:rFonts w:ascii="Gotham Light" w:eastAsia="0" w:hAnsi="Gotham Light"/>
      <w:i w:val="0"/>
      <w:sz w:val="36"/>
      <w:szCs w:val="40"/>
      <w:lang w:eastAsia="ar-SA"/>
    </w:rPr>
  </w:style>
  <w:style w:type="paragraph" w:customStyle="1" w:styleId="NumeroCapitolo">
    <w:name w:val="Numero Capitolo"/>
    <w:basedOn w:val="Titolo3"/>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pPr>
    <w:rPr>
      <w:rFonts w:ascii="Gotham Light" w:eastAsia="0" w:hAnsi="Gotham Light"/>
      <w:color w:val="2770B7"/>
      <w:sz w:val="48"/>
      <w:szCs w:val="36"/>
      <w:lang w:eastAsia="ar-SA"/>
    </w:rPr>
  </w:style>
  <w:style w:type="paragraph" w:customStyle="1" w:styleId="TitoloParte">
    <w:name w:val="Titolo Parte"/>
    <w:basedOn w:val="Titolo2"/>
    <w:qFormat/>
    <w:pPr>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after="0" w:line="240" w:lineRule="exact"/>
      <w:ind w:left="1560" w:right="142" w:hanging="357"/>
      <w:jc w:val="right"/>
    </w:pPr>
    <w:rPr>
      <w:rFonts w:ascii="Gotham Book" w:eastAsia="Times New Roman (Corpo CS)" w:hAnsi="Gotham Book"/>
      <w:color w:val="FFFFFF"/>
      <w:sz w:val="40"/>
      <w:szCs w:val="40"/>
      <w:lang w:eastAsia="ar-SA"/>
    </w:rPr>
  </w:style>
  <w:style w:type="paragraph" w:customStyle="1" w:styleId="ParteNumero">
    <w:name w:val="Parte Numero"/>
    <w:basedOn w:val="Titolo1"/>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240" w:line="240" w:lineRule="exact"/>
      <w:ind w:left="1560" w:right="142"/>
      <w:jc w:val="right"/>
    </w:pPr>
    <w:rPr>
      <w:rFonts w:ascii="Gotham Medium" w:eastAsia="Times New Roman (Corpo CS)" w:hAnsi="Gotham Medium"/>
      <w:caps/>
      <w:color w:val="FFFFFF"/>
      <w:lang w:eastAsia="ar-SA"/>
    </w:rPr>
  </w:style>
  <w:style w:type="paragraph" w:customStyle="1" w:styleId="Paragrafobase">
    <w:name w:val="[Paragrafo base]"/>
    <w:basedOn w:val="Normale"/>
    <w:qFormat/>
    <w:pPr>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line="288" w:lineRule="exact"/>
      <w:ind w:left="1560" w:right="142"/>
      <w:textAlignment w:val="center"/>
    </w:pPr>
    <w:rPr>
      <w:rFonts w:ascii="Minion Pro" w:eastAsia="Minion Pro" w:hAnsi="Minion Pro"/>
      <w:color w:val="000000"/>
      <w:lang w:eastAsia="ar-SA"/>
    </w:rPr>
  </w:style>
  <w:style w:type="paragraph" w:customStyle="1" w:styleId="Contenutocornice">
    <w:name w:val="Contenuto cornice"/>
    <w:basedOn w:val="Normale"/>
    <w:qFormat/>
  </w:style>
  <w:style w:type="paragraph" w:customStyle="1" w:styleId="Contenutotabella">
    <w:name w:val="Contenuto tabella"/>
    <w:basedOn w:val="Normale"/>
    <w:qFormat/>
    <w:pPr>
      <w:suppressLineNumbers/>
    </w:pPr>
  </w:style>
  <w:style w:type="paragraph" w:customStyle="1" w:styleId="Standard">
    <w:name w:val="Standard"/>
    <w:qFormat/>
    <w:pPr>
      <w:suppressAutoHyphens/>
      <w:spacing w:after="160" w:line="259" w:lineRule="auto"/>
      <w:textAlignment w:val="baseline"/>
    </w:pPr>
    <w:rPr>
      <w:sz w:val="24"/>
      <w:lang w:eastAsia="en-US"/>
    </w:rPr>
  </w:style>
  <w:style w:type="paragraph" w:customStyle="1" w:styleId="Testopreformattato">
    <w:name w:val="Testo preformattato"/>
    <w:basedOn w:val="Normale"/>
    <w:qFormat/>
    <w:rPr>
      <w:rFonts w:ascii="Liberation Mono" w:eastAsia="Liberation Mono" w:hAnsi="Liberation Mono" w:cs="Liberation Mono"/>
      <w:sz w:val="20"/>
      <w:szCs w:val="20"/>
    </w:rPr>
  </w:style>
  <w:style w:type="paragraph" w:customStyle="1" w:styleId="Testocitato">
    <w:name w:val="Testo citato"/>
    <w:basedOn w:val="Normale"/>
    <w:qFormat/>
    <w:pPr>
      <w:spacing w:after="283"/>
      <w:ind w:left="567" w:right="567"/>
    </w:pPr>
  </w:style>
  <w:style w:type="paragraph" w:customStyle="1" w:styleId="DefinitionTerm">
    <w:name w:val="Definition Term"/>
    <w:basedOn w:val="Normale"/>
    <w:qFormat/>
  </w:style>
  <w:style w:type="paragraph" w:customStyle="1" w:styleId="DefinitionList">
    <w:name w:val="Definition List"/>
    <w:basedOn w:val="Normale"/>
    <w:qFormat/>
    <w:pPr>
      <w:ind w:left="360"/>
    </w:pPr>
  </w:style>
  <w:style w:type="paragraph" w:customStyle="1" w:styleId="H1">
    <w:name w:val="H1"/>
    <w:basedOn w:val="Normale"/>
    <w:qFormat/>
    <w:pPr>
      <w:keepNext/>
      <w:spacing w:before="100" w:after="100"/>
      <w:outlineLvl w:val="1"/>
    </w:pPr>
    <w:rPr>
      <w:b/>
      <w:kern w:val="2"/>
      <w:sz w:val="48"/>
    </w:rPr>
  </w:style>
  <w:style w:type="paragraph" w:customStyle="1" w:styleId="H2">
    <w:name w:val="H2"/>
    <w:basedOn w:val="Normale"/>
    <w:qFormat/>
    <w:pPr>
      <w:keepNext/>
      <w:spacing w:before="100" w:after="100"/>
      <w:outlineLvl w:val="2"/>
    </w:pPr>
    <w:rPr>
      <w:b/>
      <w:sz w:val="36"/>
    </w:rPr>
  </w:style>
  <w:style w:type="paragraph" w:customStyle="1" w:styleId="H3">
    <w:name w:val="H3"/>
    <w:basedOn w:val="Normale"/>
    <w:qFormat/>
    <w:pPr>
      <w:keepNext/>
      <w:spacing w:before="100" w:after="100"/>
      <w:outlineLvl w:val="3"/>
    </w:pPr>
    <w:rPr>
      <w:b/>
      <w:sz w:val="28"/>
    </w:rPr>
  </w:style>
  <w:style w:type="paragraph" w:customStyle="1" w:styleId="H4">
    <w:name w:val="H4"/>
    <w:basedOn w:val="Normale"/>
    <w:qFormat/>
    <w:pPr>
      <w:keepNext/>
      <w:spacing w:before="100" w:after="100"/>
      <w:outlineLvl w:val="4"/>
    </w:pPr>
    <w:rPr>
      <w:b/>
    </w:rPr>
  </w:style>
  <w:style w:type="paragraph" w:customStyle="1" w:styleId="H5">
    <w:name w:val="H5"/>
    <w:basedOn w:val="Normale"/>
    <w:qFormat/>
    <w:pPr>
      <w:keepNext/>
      <w:spacing w:before="100" w:after="100"/>
      <w:outlineLvl w:val="5"/>
    </w:pPr>
    <w:rPr>
      <w:b/>
      <w:sz w:val="20"/>
    </w:rPr>
  </w:style>
  <w:style w:type="paragraph" w:customStyle="1" w:styleId="H6">
    <w:name w:val="H6"/>
    <w:basedOn w:val="Normale"/>
    <w:qFormat/>
    <w:pPr>
      <w:keepNext/>
      <w:spacing w:before="100" w:after="100"/>
      <w:outlineLvl w:val="6"/>
    </w:pPr>
    <w:rPr>
      <w:b/>
      <w:sz w:val="16"/>
    </w:rPr>
  </w:style>
  <w:style w:type="paragraph" w:customStyle="1" w:styleId="Address">
    <w:name w:val="Address"/>
    <w:basedOn w:val="Normale"/>
    <w:qFormat/>
    <w:rPr>
      <w:i/>
    </w:rPr>
  </w:style>
  <w:style w:type="paragraph" w:customStyle="1" w:styleId="Blockquote">
    <w:name w:val="Blockquote"/>
    <w:basedOn w:val="Normale"/>
    <w:qFormat/>
    <w:pPr>
      <w:spacing w:before="100" w:after="100"/>
      <w:ind w:left="360" w:right="360"/>
    </w:pPr>
  </w:style>
  <w:style w:type="paragraph" w:customStyle="1" w:styleId="Preformatted">
    <w:name w:val="Preformatted"/>
    <w:basedOn w:val="Normale"/>
    <w:qFormat/>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z w:val="20"/>
    </w:rPr>
  </w:style>
  <w:style w:type="paragraph" w:customStyle="1" w:styleId="z-BottomofForm">
    <w:name w:val="z-Bottom of Form"/>
    <w:qFormat/>
    <w:pPr>
      <w:pBdr>
        <w:top w:val="double" w:sz="2" w:space="0" w:color="000000"/>
      </w:pBdr>
      <w:jc w:val="center"/>
    </w:pPr>
    <w:rPr>
      <w:rFonts w:ascii="Arial" w:eastAsia="Arial" w:hAnsi="Arial" w:cs="Courier New"/>
      <w:vanish/>
      <w:sz w:val="16"/>
      <w:szCs w:val="24"/>
    </w:rPr>
  </w:style>
  <w:style w:type="paragraph" w:customStyle="1" w:styleId="z-TopofForm">
    <w:name w:val="z-Top of Form"/>
    <w:qFormat/>
    <w:pPr>
      <w:pBdr>
        <w:bottom w:val="double" w:sz="2" w:space="0" w:color="000000"/>
      </w:pBdr>
      <w:jc w:val="center"/>
    </w:pPr>
    <w:rPr>
      <w:rFonts w:ascii="Arial" w:eastAsia="Arial" w:hAnsi="Arial" w:cs="Courier New"/>
      <w:vanish/>
      <w:sz w:val="16"/>
      <w:szCs w:val="24"/>
    </w:rPr>
  </w:style>
  <w:style w:type="numbering" w:customStyle="1" w:styleId="Nessunelenco1">
    <w:name w:val="Nessun elenco1"/>
    <w:qFormat/>
  </w:style>
  <w:style w:type="numbering" w:customStyle="1" w:styleId="Stile2">
    <w:name w:val="Stile2"/>
    <w:qFormat/>
  </w:style>
  <w:style w:type="numbering" w:customStyle="1" w:styleId="WW8Num27">
    <w:name w:val="WW8Num27"/>
    <w:qFormat/>
  </w:style>
  <w:style w:type="table" w:styleId="Grigliatabella">
    <w:name w:val="Table Grid"/>
    <w:basedOn w:val="Tabellanormale"/>
    <w:uiPriority w:val="39"/>
    <w:rsid w:val="0051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7C2E4A"/>
    <w:rPr>
      <w:color w:val="0563C1" w:themeColor="hyperlink"/>
      <w:u w:val="single"/>
    </w:rPr>
  </w:style>
  <w:style w:type="table" w:styleId="Grigliatabellachiara">
    <w:name w:val="Grid Table Light"/>
    <w:basedOn w:val="Tabellanormale"/>
    <w:uiPriority w:val="40"/>
    <w:rsid w:val="00D80C1E"/>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Rimandonotaapidipagina">
    <w:name w:val="footnote reference"/>
    <w:basedOn w:val="Carpredefinitoparagrafo"/>
    <w:uiPriority w:val="99"/>
    <w:semiHidden/>
    <w:unhideWhenUsed/>
    <w:rsid w:val="009B0C28"/>
    <w:rPr>
      <w:vertAlign w:val="superscript"/>
    </w:rPr>
  </w:style>
  <w:style w:type="character" w:styleId="Collegamentovisitato">
    <w:name w:val="FollowedHyperlink"/>
    <w:basedOn w:val="Carpredefinitoparagrafo"/>
    <w:uiPriority w:val="99"/>
    <w:semiHidden/>
    <w:unhideWhenUsed/>
    <w:rsid w:val="00201412"/>
    <w:rPr>
      <w:color w:val="954F72" w:themeColor="followedHyperlink"/>
      <w:u w:val="single"/>
    </w:rPr>
  </w:style>
  <w:style w:type="character" w:customStyle="1" w:styleId="Menzionenonrisolta2">
    <w:name w:val="Menzione non risolta2"/>
    <w:basedOn w:val="Carpredefinitoparagrafo"/>
    <w:uiPriority w:val="99"/>
    <w:semiHidden/>
    <w:unhideWhenUsed/>
    <w:rsid w:val="004E396B"/>
    <w:rPr>
      <w:color w:val="605E5C"/>
      <w:shd w:val="clear" w:color="auto" w:fill="E1DFDD"/>
    </w:rPr>
  </w:style>
  <w:style w:type="character" w:customStyle="1" w:styleId="Menzionenonrisolta3">
    <w:name w:val="Menzione non risolta3"/>
    <w:basedOn w:val="Carpredefinitoparagrafo"/>
    <w:uiPriority w:val="99"/>
    <w:semiHidden/>
    <w:unhideWhenUsed/>
    <w:rsid w:val="004B4C8D"/>
    <w:rPr>
      <w:color w:val="605E5C"/>
      <w:shd w:val="clear" w:color="auto" w:fill="E1DFDD"/>
    </w:rPr>
  </w:style>
  <w:style w:type="paragraph" w:customStyle="1" w:styleId="TableParagraph">
    <w:name w:val="Table Paragraph"/>
    <w:basedOn w:val="Normale"/>
    <w:uiPriority w:val="1"/>
    <w:qFormat/>
    <w:rsid w:val="003A691B"/>
    <w:pPr>
      <w:widowControl w:val="0"/>
      <w:autoSpaceDE w:val="0"/>
      <w:autoSpaceDN w:val="0"/>
      <w:spacing w:line="240" w:lineRule="auto"/>
      <w:jc w:val="left"/>
    </w:pPr>
    <w:rPr>
      <w:rFonts w:ascii="Calibri" w:eastAsia="Calibri" w:hAnsi="Calibri" w:cs="Calibri"/>
      <w:sz w:val="22"/>
    </w:rPr>
  </w:style>
  <w:style w:type="table" w:customStyle="1" w:styleId="TableNormal">
    <w:name w:val="Table Normal"/>
    <w:uiPriority w:val="2"/>
    <w:semiHidden/>
    <w:unhideWhenUsed/>
    <w:qFormat/>
    <w:rsid w:val="0049044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styleId="Menzionenonrisolta">
    <w:name w:val="Unresolved Mention"/>
    <w:basedOn w:val="Carpredefinitoparagrafo"/>
    <w:uiPriority w:val="99"/>
    <w:semiHidden/>
    <w:unhideWhenUsed/>
    <w:rsid w:val="0099152C"/>
    <w:rPr>
      <w:color w:val="605E5C"/>
      <w:shd w:val="clear" w:color="auto" w:fill="E1DFDD"/>
    </w:rPr>
  </w:style>
  <w:style w:type="paragraph" w:customStyle="1" w:styleId="Titolo2bis">
    <w:name w:val="Titolo2_bis"/>
    <w:basedOn w:val="Titolo2"/>
    <w:qFormat/>
    <w:rsid w:val="00182EDC"/>
    <w:pPr>
      <w:numPr>
        <w:numId w:val="0"/>
      </w:numPr>
    </w:pPr>
  </w:style>
  <w:style w:type="paragraph" w:customStyle="1" w:styleId="Titolo2ParteII">
    <w:name w:val="Titolo2_Parte_II"/>
    <w:basedOn w:val="Titolo2"/>
    <w:qFormat/>
    <w:rsid w:val="009A24C1"/>
    <w:pPr>
      <w:numPr>
        <w:numId w:val="20"/>
      </w:numPr>
    </w:pPr>
  </w:style>
  <w:style w:type="paragraph" w:customStyle="1" w:styleId="Stile3parte1">
    <w:name w:val="Stile3_parte_1"/>
    <w:basedOn w:val="Titolo3"/>
    <w:qFormat/>
    <w:rsid w:val="00C219DF"/>
    <w:pPr>
      <w:numPr>
        <w:numId w:val="22"/>
      </w:numPr>
    </w:pPr>
    <w:rPr>
      <w:rFonts w:ascii="Titillium" w:hAnsi="Titillium"/>
      <w:iCs/>
      <w:caps w:val="0"/>
      <w:sz w:val="18"/>
      <w:szCs w:val="18"/>
    </w:rPr>
  </w:style>
  <w:style w:type="character" w:customStyle="1" w:styleId="Titolo6Carattere1">
    <w:name w:val="Titolo 6 Carattere1"/>
    <w:basedOn w:val="Carpredefinitoparagrafo"/>
    <w:uiPriority w:val="9"/>
    <w:semiHidden/>
    <w:rsid w:val="00D141B6"/>
    <w:rPr>
      <w:rFonts w:asciiTheme="majorHAnsi" w:eastAsiaTheme="majorEastAsia" w:hAnsiTheme="majorHAnsi" w:cstheme="majorBidi"/>
      <w:color w:val="1F4D78" w:themeColor="accent1" w:themeShade="7F"/>
      <w:sz w:val="24"/>
      <w:szCs w:val="22"/>
      <w:lang w:eastAsia="en-US"/>
    </w:rPr>
  </w:style>
  <w:style w:type="character" w:customStyle="1" w:styleId="Titolo7Carattere1">
    <w:name w:val="Titolo 7 Carattere1"/>
    <w:basedOn w:val="Carpredefinitoparagrafo"/>
    <w:uiPriority w:val="9"/>
    <w:semiHidden/>
    <w:rsid w:val="00D141B6"/>
    <w:rPr>
      <w:rFonts w:asciiTheme="majorHAnsi" w:eastAsiaTheme="majorEastAsia" w:hAnsiTheme="majorHAnsi" w:cstheme="majorBidi"/>
      <w:i/>
      <w:iCs/>
      <w:color w:val="1F4D78" w:themeColor="accent1" w:themeShade="7F"/>
      <w:sz w:val="24"/>
      <w:szCs w:val="22"/>
      <w:lang w:eastAsia="en-US"/>
    </w:rPr>
  </w:style>
  <w:style w:type="character" w:customStyle="1" w:styleId="Titolo8Carattere">
    <w:name w:val="Titolo 8 Carattere"/>
    <w:basedOn w:val="Carpredefinitoparagrafo"/>
    <w:link w:val="Titolo8"/>
    <w:uiPriority w:val="9"/>
    <w:semiHidden/>
    <w:rsid w:val="00D141B6"/>
    <w:rPr>
      <w:rFonts w:asciiTheme="minorHAnsi" w:eastAsiaTheme="majorEastAsia" w:hAnsiTheme="minorHAnsi" w:cstheme="majorBidi"/>
      <w:i/>
      <w:iCs/>
      <w:color w:val="272727" w:themeColor="text1" w:themeTint="D8"/>
      <w:kern w:val="2"/>
      <w:sz w:val="22"/>
      <w:szCs w:val="22"/>
      <w:lang w:eastAsia="en-US"/>
      <w14:ligatures w14:val="standardContextual"/>
    </w:rPr>
  </w:style>
  <w:style w:type="character" w:customStyle="1" w:styleId="Titolo9Carattere">
    <w:name w:val="Titolo 9 Carattere"/>
    <w:basedOn w:val="Carpredefinitoparagrafo"/>
    <w:link w:val="Titolo9"/>
    <w:uiPriority w:val="9"/>
    <w:semiHidden/>
    <w:rsid w:val="00D141B6"/>
    <w:rPr>
      <w:rFonts w:asciiTheme="minorHAnsi" w:eastAsiaTheme="majorEastAsia" w:hAnsiTheme="minorHAnsi" w:cstheme="majorBidi"/>
      <w:color w:val="272727" w:themeColor="text1" w:themeTint="D8"/>
      <w:kern w:val="2"/>
      <w:sz w:val="22"/>
      <w:szCs w:val="22"/>
      <w:lang w:eastAsia="en-US"/>
      <w14:ligatures w14:val="standardContextual"/>
    </w:rPr>
  </w:style>
  <w:style w:type="paragraph" w:styleId="Citazione">
    <w:name w:val="Quote"/>
    <w:basedOn w:val="Normale"/>
    <w:next w:val="Normale"/>
    <w:link w:val="CitazioneCarattere"/>
    <w:uiPriority w:val="29"/>
    <w:qFormat/>
    <w:rsid w:val="00D141B6"/>
    <w:pPr>
      <w:spacing w:before="160" w:after="160" w:line="259" w:lineRule="auto"/>
      <w:jc w:val="center"/>
    </w:pPr>
    <w:rPr>
      <w:rFonts w:asciiTheme="minorHAnsi" w:eastAsiaTheme="minorHAnsi" w:hAnsiTheme="minorHAnsi" w:cstheme="minorBidi"/>
      <w:i/>
      <w:iCs/>
      <w:color w:val="404040" w:themeColor="text1" w:themeTint="BF"/>
      <w:kern w:val="2"/>
      <w:sz w:val="22"/>
      <w14:ligatures w14:val="standardContextual"/>
    </w:rPr>
  </w:style>
  <w:style w:type="character" w:customStyle="1" w:styleId="CitazioneCarattere">
    <w:name w:val="Citazione Carattere"/>
    <w:basedOn w:val="Carpredefinitoparagrafo"/>
    <w:link w:val="Citazione"/>
    <w:uiPriority w:val="29"/>
    <w:rsid w:val="00D141B6"/>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styleId="Enfasiintensa">
    <w:name w:val="Intense Emphasis"/>
    <w:basedOn w:val="Carpredefinitoparagrafo"/>
    <w:uiPriority w:val="21"/>
    <w:qFormat/>
    <w:rsid w:val="00D141B6"/>
    <w:rPr>
      <w:i/>
      <w:iCs/>
      <w:color w:val="2E74B5" w:themeColor="accent1" w:themeShade="BF"/>
    </w:rPr>
  </w:style>
  <w:style w:type="paragraph" w:styleId="Citazioneintensa">
    <w:name w:val="Intense Quote"/>
    <w:basedOn w:val="Normale"/>
    <w:next w:val="Normale"/>
    <w:link w:val="CitazioneintensaCarattere"/>
    <w:uiPriority w:val="30"/>
    <w:qFormat/>
    <w:rsid w:val="00D141B6"/>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heme="minorHAnsi" w:eastAsiaTheme="minorHAnsi" w:hAnsiTheme="minorHAnsi" w:cstheme="minorBidi"/>
      <w:i/>
      <w:iCs/>
      <w:color w:val="2E74B5" w:themeColor="accent1" w:themeShade="BF"/>
      <w:kern w:val="2"/>
      <w:sz w:val="22"/>
      <w14:ligatures w14:val="standardContextual"/>
    </w:rPr>
  </w:style>
  <w:style w:type="character" w:customStyle="1" w:styleId="CitazioneintensaCarattere">
    <w:name w:val="Citazione intensa Carattere"/>
    <w:basedOn w:val="Carpredefinitoparagrafo"/>
    <w:link w:val="Citazioneintensa"/>
    <w:uiPriority w:val="30"/>
    <w:rsid w:val="00D141B6"/>
    <w:rPr>
      <w:rFonts w:asciiTheme="minorHAnsi" w:eastAsiaTheme="minorHAnsi" w:hAnsiTheme="minorHAnsi" w:cstheme="minorBidi"/>
      <w:i/>
      <w:iCs/>
      <w:color w:val="2E74B5" w:themeColor="accent1" w:themeShade="BF"/>
      <w:kern w:val="2"/>
      <w:sz w:val="22"/>
      <w:szCs w:val="22"/>
      <w:lang w:eastAsia="en-US"/>
      <w14:ligatures w14:val="standardContextual"/>
    </w:rPr>
  </w:style>
  <w:style w:type="character" w:styleId="Riferimentointenso">
    <w:name w:val="Intense Reference"/>
    <w:basedOn w:val="Carpredefinitoparagrafo"/>
    <w:uiPriority w:val="32"/>
    <w:qFormat/>
    <w:rsid w:val="00D141B6"/>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496119">
      <w:bodyDiv w:val="1"/>
      <w:marLeft w:val="0"/>
      <w:marRight w:val="0"/>
      <w:marTop w:val="0"/>
      <w:marBottom w:val="0"/>
      <w:divBdr>
        <w:top w:val="none" w:sz="0" w:space="0" w:color="auto"/>
        <w:left w:val="none" w:sz="0" w:space="0" w:color="auto"/>
        <w:bottom w:val="none" w:sz="0" w:space="0" w:color="auto"/>
        <w:right w:val="none" w:sz="0" w:space="0" w:color="auto"/>
      </w:divBdr>
    </w:div>
    <w:div w:id="223683947">
      <w:bodyDiv w:val="1"/>
      <w:marLeft w:val="0"/>
      <w:marRight w:val="0"/>
      <w:marTop w:val="0"/>
      <w:marBottom w:val="0"/>
      <w:divBdr>
        <w:top w:val="none" w:sz="0" w:space="0" w:color="auto"/>
        <w:left w:val="none" w:sz="0" w:space="0" w:color="auto"/>
        <w:bottom w:val="none" w:sz="0" w:space="0" w:color="auto"/>
        <w:right w:val="none" w:sz="0" w:space="0" w:color="auto"/>
      </w:divBdr>
    </w:div>
    <w:div w:id="274946685">
      <w:bodyDiv w:val="1"/>
      <w:marLeft w:val="0"/>
      <w:marRight w:val="0"/>
      <w:marTop w:val="0"/>
      <w:marBottom w:val="0"/>
      <w:divBdr>
        <w:top w:val="none" w:sz="0" w:space="0" w:color="auto"/>
        <w:left w:val="none" w:sz="0" w:space="0" w:color="auto"/>
        <w:bottom w:val="none" w:sz="0" w:space="0" w:color="auto"/>
        <w:right w:val="none" w:sz="0" w:space="0" w:color="auto"/>
      </w:divBdr>
    </w:div>
    <w:div w:id="369112057">
      <w:bodyDiv w:val="1"/>
      <w:marLeft w:val="0"/>
      <w:marRight w:val="0"/>
      <w:marTop w:val="0"/>
      <w:marBottom w:val="0"/>
      <w:divBdr>
        <w:top w:val="none" w:sz="0" w:space="0" w:color="auto"/>
        <w:left w:val="none" w:sz="0" w:space="0" w:color="auto"/>
        <w:bottom w:val="none" w:sz="0" w:space="0" w:color="auto"/>
        <w:right w:val="none" w:sz="0" w:space="0" w:color="auto"/>
      </w:divBdr>
    </w:div>
    <w:div w:id="373119581">
      <w:bodyDiv w:val="1"/>
      <w:marLeft w:val="0"/>
      <w:marRight w:val="0"/>
      <w:marTop w:val="0"/>
      <w:marBottom w:val="0"/>
      <w:divBdr>
        <w:top w:val="none" w:sz="0" w:space="0" w:color="auto"/>
        <w:left w:val="none" w:sz="0" w:space="0" w:color="auto"/>
        <w:bottom w:val="none" w:sz="0" w:space="0" w:color="auto"/>
        <w:right w:val="none" w:sz="0" w:space="0" w:color="auto"/>
      </w:divBdr>
    </w:div>
    <w:div w:id="511645752">
      <w:bodyDiv w:val="1"/>
      <w:marLeft w:val="0"/>
      <w:marRight w:val="0"/>
      <w:marTop w:val="0"/>
      <w:marBottom w:val="0"/>
      <w:divBdr>
        <w:top w:val="none" w:sz="0" w:space="0" w:color="auto"/>
        <w:left w:val="none" w:sz="0" w:space="0" w:color="auto"/>
        <w:bottom w:val="none" w:sz="0" w:space="0" w:color="auto"/>
        <w:right w:val="none" w:sz="0" w:space="0" w:color="auto"/>
      </w:divBdr>
    </w:div>
    <w:div w:id="570962877">
      <w:bodyDiv w:val="1"/>
      <w:marLeft w:val="0"/>
      <w:marRight w:val="0"/>
      <w:marTop w:val="0"/>
      <w:marBottom w:val="0"/>
      <w:divBdr>
        <w:top w:val="none" w:sz="0" w:space="0" w:color="auto"/>
        <w:left w:val="none" w:sz="0" w:space="0" w:color="auto"/>
        <w:bottom w:val="none" w:sz="0" w:space="0" w:color="auto"/>
        <w:right w:val="none" w:sz="0" w:space="0" w:color="auto"/>
      </w:divBdr>
    </w:div>
    <w:div w:id="615478402">
      <w:bodyDiv w:val="1"/>
      <w:marLeft w:val="0"/>
      <w:marRight w:val="0"/>
      <w:marTop w:val="0"/>
      <w:marBottom w:val="0"/>
      <w:divBdr>
        <w:top w:val="none" w:sz="0" w:space="0" w:color="auto"/>
        <w:left w:val="none" w:sz="0" w:space="0" w:color="auto"/>
        <w:bottom w:val="none" w:sz="0" w:space="0" w:color="auto"/>
        <w:right w:val="none" w:sz="0" w:space="0" w:color="auto"/>
      </w:divBdr>
    </w:div>
    <w:div w:id="879321098">
      <w:bodyDiv w:val="1"/>
      <w:marLeft w:val="0"/>
      <w:marRight w:val="0"/>
      <w:marTop w:val="0"/>
      <w:marBottom w:val="0"/>
      <w:divBdr>
        <w:top w:val="none" w:sz="0" w:space="0" w:color="auto"/>
        <w:left w:val="none" w:sz="0" w:space="0" w:color="auto"/>
        <w:bottom w:val="none" w:sz="0" w:space="0" w:color="auto"/>
        <w:right w:val="none" w:sz="0" w:space="0" w:color="auto"/>
      </w:divBdr>
    </w:div>
    <w:div w:id="893467469">
      <w:bodyDiv w:val="1"/>
      <w:marLeft w:val="0"/>
      <w:marRight w:val="0"/>
      <w:marTop w:val="0"/>
      <w:marBottom w:val="0"/>
      <w:divBdr>
        <w:top w:val="none" w:sz="0" w:space="0" w:color="auto"/>
        <w:left w:val="none" w:sz="0" w:space="0" w:color="auto"/>
        <w:bottom w:val="none" w:sz="0" w:space="0" w:color="auto"/>
        <w:right w:val="none" w:sz="0" w:space="0" w:color="auto"/>
      </w:divBdr>
    </w:div>
    <w:div w:id="896165886">
      <w:bodyDiv w:val="1"/>
      <w:marLeft w:val="0"/>
      <w:marRight w:val="0"/>
      <w:marTop w:val="0"/>
      <w:marBottom w:val="0"/>
      <w:divBdr>
        <w:top w:val="none" w:sz="0" w:space="0" w:color="auto"/>
        <w:left w:val="none" w:sz="0" w:space="0" w:color="auto"/>
        <w:bottom w:val="none" w:sz="0" w:space="0" w:color="auto"/>
        <w:right w:val="none" w:sz="0" w:space="0" w:color="auto"/>
      </w:divBdr>
    </w:div>
    <w:div w:id="1324431087">
      <w:bodyDiv w:val="1"/>
      <w:marLeft w:val="0"/>
      <w:marRight w:val="0"/>
      <w:marTop w:val="0"/>
      <w:marBottom w:val="0"/>
      <w:divBdr>
        <w:top w:val="none" w:sz="0" w:space="0" w:color="auto"/>
        <w:left w:val="none" w:sz="0" w:space="0" w:color="auto"/>
        <w:bottom w:val="none" w:sz="0" w:space="0" w:color="auto"/>
        <w:right w:val="none" w:sz="0" w:space="0" w:color="auto"/>
      </w:divBdr>
    </w:div>
    <w:div w:id="1407142869">
      <w:bodyDiv w:val="1"/>
      <w:marLeft w:val="0"/>
      <w:marRight w:val="0"/>
      <w:marTop w:val="0"/>
      <w:marBottom w:val="0"/>
      <w:divBdr>
        <w:top w:val="none" w:sz="0" w:space="0" w:color="auto"/>
        <w:left w:val="none" w:sz="0" w:space="0" w:color="auto"/>
        <w:bottom w:val="none" w:sz="0" w:space="0" w:color="auto"/>
        <w:right w:val="none" w:sz="0" w:space="0" w:color="auto"/>
      </w:divBdr>
    </w:div>
    <w:div w:id="1658071868">
      <w:bodyDiv w:val="1"/>
      <w:marLeft w:val="0"/>
      <w:marRight w:val="0"/>
      <w:marTop w:val="0"/>
      <w:marBottom w:val="0"/>
      <w:divBdr>
        <w:top w:val="none" w:sz="0" w:space="0" w:color="auto"/>
        <w:left w:val="none" w:sz="0" w:space="0" w:color="auto"/>
        <w:bottom w:val="none" w:sz="0" w:space="0" w:color="auto"/>
        <w:right w:val="none" w:sz="0" w:space="0" w:color="auto"/>
      </w:divBdr>
    </w:div>
    <w:div w:id="1735740779">
      <w:bodyDiv w:val="1"/>
      <w:marLeft w:val="0"/>
      <w:marRight w:val="0"/>
      <w:marTop w:val="0"/>
      <w:marBottom w:val="0"/>
      <w:divBdr>
        <w:top w:val="none" w:sz="0" w:space="0" w:color="auto"/>
        <w:left w:val="none" w:sz="0" w:space="0" w:color="auto"/>
        <w:bottom w:val="none" w:sz="0" w:space="0" w:color="auto"/>
        <w:right w:val="none" w:sz="0" w:space="0" w:color="auto"/>
      </w:divBdr>
    </w:div>
    <w:div w:id="1869444133">
      <w:bodyDiv w:val="1"/>
      <w:marLeft w:val="0"/>
      <w:marRight w:val="0"/>
      <w:marTop w:val="0"/>
      <w:marBottom w:val="0"/>
      <w:divBdr>
        <w:top w:val="none" w:sz="0" w:space="0" w:color="auto"/>
        <w:left w:val="none" w:sz="0" w:space="0" w:color="auto"/>
        <w:bottom w:val="none" w:sz="0" w:space="0" w:color="auto"/>
        <w:right w:val="none" w:sz="0" w:space="0" w:color="auto"/>
      </w:divBdr>
    </w:div>
    <w:div w:id="1903713500">
      <w:bodyDiv w:val="1"/>
      <w:marLeft w:val="0"/>
      <w:marRight w:val="0"/>
      <w:marTop w:val="0"/>
      <w:marBottom w:val="0"/>
      <w:divBdr>
        <w:top w:val="none" w:sz="0" w:space="0" w:color="auto"/>
        <w:left w:val="none" w:sz="0" w:space="0" w:color="auto"/>
        <w:bottom w:val="none" w:sz="0" w:space="0" w:color="auto"/>
        <w:right w:val="none" w:sz="0" w:space="0" w:color="auto"/>
      </w:divBdr>
    </w:div>
    <w:div w:id="2072540280">
      <w:bodyDiv w:val="1"/>
      <w:marLeft w:val="0"/>
      <w:marRight w:val="0"/>
      <w:marTop w:val="0"/>
      <w:marBottom w:val="0"/>
      <w:divBdr>
        <w:top w:val="none" w:sz="0" w:space="0" w:color="auto"/>
        <w:left w:val="none" w:sz="0" w:space="0" w:color="auto"/>
        <w:bottom w:val="none" w:sz="0" w:space="0" w:color="auto"/>
        <w:right w:val="none" w:sz="0" w:space="0" w:color="auto"/>
      </w:divBdr>
    </w:div>
    <w:div w:id="21433763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B2B0A0-ADE2-45CC-A06A-25CA88DF64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6234</Words>
  <Characters>35539</Characters>
  <Application>Microsoft Office Word</Application>
  <DocSecurity>4</DocSecurity>
  <Lines>296</Lines>
  <Paragraphs>83</Paragraphs>
  <ScaleCrop>false</ScaleCrop>
  <HeadingPairs>
    <vt:vector size="2" baseType="variant">
      <vt:variant>
        <vt:lpstr>Titolo</vt:lpstr>
      </vt:variant>
      <vt:variant>
        <vt:i4>1</vt:i4>
      </vt:variant>
    </vt:vector>
  </HeadingPairs>
  <TitlesOfParts>
    <vt:vector size="1" baseType="lpstr">
      <vt:lpstr>Codice dei contratti pubblici                                    D.lgs. 18 aprile 2016, n. 50, modificato dal d.lgs. 19 aprile 2017, n. 56</vt:lpstr>
    </vt:vector>
  </TitlesOfParts>
  <Company>AVCP</Company>
  <LinksUpToDate>false</LinksUpToDate>
  <CharactersWithSpaces>41690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Codice dei contratti pubblici                                    D.lgs. 18 aprile 2016, n. 50, modificato dal d.lgs. 19 aprile 2017, n. 56</dc:title>
  <dc:subject>---</dc:subject>
  <dc:creator>Laura Savelli</dc:creator>
  <cp:keywords/>
  <dc:description/>
  <cp:lastModifiedBy>Annarosa Alfonzo</cp:lastModifiedBy>
  <cp:revision>2</cp:revision>
  <cp:lastPrinted>2025-03-10T18:31:00Z</cp:lastPrinted>
  <dcterms:created xsi:type="dcterms:W3CDTF">2025-03-11T10:39:00Z</dcterms:created>
  <dcterms:modified xsi:type="dcterms:W3CDTF">2025-03-11T10:39:00Z</dcterms:modified>
  <dc:language>it-IT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AVCP</vt:lpwstr>
  </property>
  <property fmtid="{D5CDD505-2E9C-101B-9397-08002B2CF9AE}" pid="4" name="DocSecurity">
    <vt:i4>0</vt:i4>
  </property>
  <property fmtid="{D5CDD505-2E9C-101B-9397-08002B2CF9AE}" pid="5" name="DocumentEncoding">
    <vt:lpwstr>utf-8</vt:lpwstr>
  </property>
  <property fmtid="{D5CDD505-2E9C-101B-9397-08002B2CF9AE}" pid="6" name="HTML">
    <vt:bool>true</vt:bool>
  </property>
  <property fmtid="{D5CDD505-2E9C-101B-9397-08002B2CF9AE}" pid="7" name="HyperlinksChanged">
    <vt:bool>false</vt:bool>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